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CD" w:rsidRDefault="0020768D">
      <w:pPr>
        <w:widowControl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noProof/>
          <w:sz w:val="20"/>
          <w:szCs w:val="20"/>
          <w:lang w:val="nl-NL" w:eastAsia="nl-NL"/>
        </w:rPr>
        <w:drawing>
          <wp:anchor distT="179705" distB="179705" distL="179705" distR="179705" simplePos="0" relativeHeight="7" behindDoc="1" locked="0" layoutInCell="1" allowOverlap="1">
            <wp:simplePos x="0" y="0"/>
            <wp:positionH relativeFrom="page">
              <wp:posOffset>0</wp:posOffset>
            </wp:positionH>
            <wp:positionV relativeFrom="page">
              <wp:posOffset>0</wp:posOffset>
            </wp:positionV>
            <wp:extent cx="7560310" cy="161988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7560310" cy="1619885"/>
                    </a:xfrm>
                    <a:prstGeom prst="rect">
                      <a:avLst/>
                    </a:prstGeom>
                    <a:noFill/>
                    <a:ln w="9525">
                      <a:noFill/>
                      <a:miter lim="800000"/>
                      <a:headEnd/>
                      <a:tailEnd/>
                    </a:ln>
                  </pic:spPr>
                </pic:pic>
              </a:graphicData>
            </a:graphic>
          </wp:anchor>
        </w:drawing>
      </w:r>
    </w:p>
    <w:tbl>
      <w:tblPr>
        <w:tblW w:w="0" w:type="auto"/>
        <w:tblInd w:w="47" w:type="dxa"/>
        <w:tblBorders>
          <w:top w:val="nil"/>
          <w:left w:val="nil"/>
          <w:bottom w:val="nil"/>
          <w:right w:val="nil"/>
          <w:insideH w:val="nil"/>
          <w:insideV w:val="nil"/>
        </w:tblBorders>
        <w:tblCellMar>
          <w:top w:w="11" w:type="dxa"/>
          <w:left w:w="11" w:type="dxa"/>
          <w:bottom w:w="11" w:type="dxa"/>
          <w:right w:w="11" w:type="dxa"/>
        </w:tblCellMar>
        <w:tblLook w:val="04A0" w:firstRow="1" w:lastRow="0" w:firstColumn="1" w:lastColumn="0" w:noHBand="0" w:noVBand="1"/>
      </w:tblPr>
      <w:tblGrid>
        <w:gridCol w:w="9319"/>
      </w:tblGrid>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jc w:val="center"/>
              <w:rPr>
                <w:rFonts w:ascii="Arial" w:hAnsi="Arial" w:cs="Arial"/>
                <w:b/>
                <w:bCs/>
                <w:sz w:val="20"/>
                <w:szCs w:val="20"/>
              </w:rPr>
            </w:pPr>
            <w:r>
              <w:rPr>
                <w:rFonts w:ascii="Arial" w:hAnsi="Arial" w:cs="Arial"/>
                <w:b/>
                <w:bCs/>
                <w:sz w:val="20"/>
                <w:szCs w:val="20"/>
              </w:rPr>
              <w:t>Draft Agenda</w:t>
            </w:r>
          </w:p>
        </w:tc>
      </w:tr>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jc w:val="center"/>
              <w:rPr>
                <w:rFonts w:ascii="Arial" w:hAnsi="Arial" w:cs="Arial"/>
                <w:sz w:val="20"/>
                <w:szCs w:val="20"/>
              </w:rPr>
            </w:pPr>
            <w:r>
              <w:rPr>
                <w:rFonts w:ascii="Arial" w:hAnsi="Arial" w:cs="Arial"/>
                <w:b/>
                <w:bCs/>
                <w:sz w:val="20"/>
                <w:szCs w:val="20"/>
              </w:rPr>
              <w:t>Management Committee Meeting</w:t>
            </w:r>
            <w:r>
              <w:rPr>
                <w:rFonts w:ascii="Arial" w:hAnsi="Arial" w:cs="Arial"/>
                <w:sz w:val="20"/>
                <w:szCs w:val="20"/>
              </w:rPr>
              <w:t xml:space="preserve"> </w:t>
            </w:r>
            <w:r>
              <w:rPr>
                <w:rFonts w:ascii="Arial" w:hAnsi="Arial" w:cs="Arial"/>
                <w:sz w:val="20"/>
                <w:szCs w:val="20"/>
              </w:rPr>
              <w:br/>
            </w:r>
          </w:p>
        </w:tc>
      </w:tr>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jc w:val="center"/>
              <w:rPr>
                <w:rFonts w:ascii="Arial" w:hAnsi="Arial" w:cs="Arial"/>
                <w:b/>
                <w:bCs/>
                <w:sz w:val="20"/>
                <w:szCs w:val="20"/>
              </w:rPr>
            </w:pPr>
            <w:r>
              <w:rPr>
                <w:rFonts w:ascii="Arial" w:hAnsi="Arial" w:cs="Arial"/>
                <w:b/>
                <w:bCs/>
                <w:sz w:val="20"/>
                <w:szCs w:val="20"/>
              </w:rPr>
              <w:t>COST Action no. FA1307</w:t>
            </w:r>
          </w:p>
        </w:tc>
      </w:tr>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jc w:val="center"/>
              <w:rPr>
                <w:rFonts w:ascii="Arial" w:hAnsi="Arial" w:cs="Arial"/>
                <w:b/>
                <w:bCs/>
                <w:sz w:val="20"/>
                <w:szCs w:val="20"/>
              </w:rPr>
            </w:pPr>
            <w:r>
              <w:rPr>
                <w:rFonts w:ascii="Arial" w:hAnsi="Arial" w:cs="Arial"/>
                <w:b/>
                <w:bCs/>
                <w:sz w:val="20"/>
                <w:szCs w:val="20"/>
              </w:rPr>
              <w:t>Action Title: Sustainable pollination in Europe: joint research on bees and other pollinators (SUPER-B)</w:t>
            </w:r>
          </w:p>
        </w:tc>
      </w:tr>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jc w:val="center"/>
              <w:rPr>
                <w:rFonts w:ascii="Arial" w:hAnsi="Arial" w:cs="Arial"/>
                <w:b/>
                <w:bCs/>
                <w:sz w:val="20"/>
                <w:szCs w:val="20"/>
              </w:rPr>
            </w:pPr>
            <w:r>
              <w:rPr>
                <w:rFonts w:ascii="Arial" w:hAnsi="Arial" w:cs="Arial"/>
                <w:b/>
                <w:bCs/>
                <w:sz w:val="20"/>
                <w:szCs w:val="20"/>
              </w:rPr>
              <w:t>Venue M</w:t>
            </w:r>
            <w:r>
              <w:rPr>
                <w:rFonts w:ascii="Arial" w:hAnsi="Arial" w:cs="Arial"/>
                <w:b/>
                <w:bCs/>
                <w:sz w:val="20"/>
                <w:szCs w:val="20"/>
              </w:rPr>
              <w:t>C</w:t>
            </w:r>
            <w:r>
              <w:rPr>
                <w:rFonts w:ascii="Arial" w:hAnsi="Arial" w:cs="Arial"/>
                <w:b/>
                <w:bCs/>
                <w:sz w:val="20"/>
                <w:szCs w:val="20"/>
              </w:rPr>
              <w:t xml:space="preserve">AST Paola, Malta on November 6,  2015 </w:t>
            </w:r>
          </w:p>
        </w:tc>
      </w:tr>
    </w:tbl>
    <w:p w:rsidR="00E652CD" w:rsidRDefault="0020768D">
      <w:pPr>
        <w:widowControl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br/>
      </w:r>
    </w:p>
    <w:tbl>
      <w:tblPr>
        <w:tblW w:w="0" w:type="auto"/>
        <w:tblInd w:w="47" w:type="dxa"/>
        <w:tblBorders>
          <w:top w:val="nil"/>
          <w:left w:val="nil"/>
          <w:bottom w:val="nil"/>
          <w:right w:val="nil"/>
          <w:insideH w:val="nil"/>
          <w:insideV w:val="nil"/>
        </w:tblBorders>
        <w:tblCellMar>
          <w:top w:w="11" w:type="dxa"/>
          <w:left w:w="11" w:type="dxa"/>
          <w:bottom w:w="11" w:type="dxa"/>
          <w:right w:w="11" w:type="dxa"/>
        </w:tblCellMar>
        <w:tblLook w:val="04A0" w:firstRow="1" w:lastRow="0" w:firstColumn="1" w:lastColumn="0" w:noHBand="0" w:noVBand="1"/>
      </w:tblPr>
      <w:tblGrid>
        <w:gridCol w:w="9319"/>
      </w:tblGrid>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 Welcome to participants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2. Adoption of agenda</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3. Approval of minutes (already done) and matters arising of last meeting</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4. Update from the Action Chair</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a. Status of Action, including participating </w:t>
            </w:r>
            <w:r>
              <w:rPr>
                <w:rFonts w:ascii="Verdana" w:hAnsi="Verdana" w:cs="Verdana"/>
                <w:sz w:val="20"/>
                <w:szCs w:val="20"/>
              </w:rPr>
              <w:t>countries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b. Action budget status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5. Promotion of gender balance and of Early Stage Researchers (ESR)</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Arial" w:hAnsi="Arial" w:cs="Arial"/>
                <w:sz w:val="20"/>
                <w:szCs w:val="20"/>
              </w:rPr>
            </w:pPr>
            <w:r>
              <w:rPr>
                <w:rFonts w:ascii="Verdana" w:hAnsi="Verdana" w:cs="Verdana"/>
                <w:sz w:val="20"/>
                <w:szCs w:val="20"/>
              </w:rPr>
              <w:t>6. Update from the Grant Holder</w:t>
            </w:r>
            <w:r>
              <w:rPr>
                <w:rFonts w:ascii="Arial" w:hAnsi="Arial" w:cs="Arial"/>
                <w:sz w:val="20"/>
                <w:szCs w:val="20"/>
              </w:rPr>
              <w:t xml:space="preserve">                </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Arial" w:hAnsi="Arial" w:cs="Arial"/>
                <w:sz w:val="20"/>
                <w:szCs w:val="20"/>
              </w:rPr>
            </w:pPr>
            <w:r>
              <w:rPr>
                <w:rFonts w:ascii="Verdana" w:hAnsi="Verdana" w:cs="Verdana"/>
                <w:sz w:val="20"/>
                <w:szCs w:val="20"/>
              </w:rPr>
              <w:t>7. Update from the COST Office (if COST officer is present)</w:t>
            </w:r>
            <w:r>
              <w:rPr>
                <w:rFonts w:ascii="Arial" w:hAnsi="Arial" w:cs="Arial"/>
                <w:sz w:val="20"/>
                <w:szCs w:val="20"/>
              </w:rPr>
              <w:t xml:space="preserve"> </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8. Annual Progress Conference </w:t>
            </w:r>
            <w:r>
              <w:rPr>
                <w:rFonts w:ascii="Verdana" w:hAnsi="Verdana" w:cs="Verdana"/>
                <w:sz w:val="20"/>
                <w:szCs w:val="20"/>
              </w:rPr>
              <w:t>(reflection on last days)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9. STSM application procedure</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10. Follow-up of MoU objectives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a. Progress report of working groups (last year and Malta workshops)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11. Scientific planning </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a. Scientific strategy: detailed plans for working groups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b. Action Budget Planning</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c. Long-term planning (including anticipated locations and dates of future activities)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    d. Dissemination planning (Publications and outreach activities)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12. Requests for new members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 xml:space="preserve">13. Non-COST applications to the </w:t>
            </w:r>
            <w:r>
              <w:rPr>
                <w:rFonts w:ascii="Verdana" w:hAnsi="Verdana" w:cs="Verdana"/>
                <w:sz w:val="20"/>
                <w:szCs w:val="20"/>
              </w:rPr>
              <w:t>Actions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14. AOB</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15. Location and date of next meeting</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16. Summary of MC decisions</w:t>
            </w:r>
          </w:p>
        </w:tc>
      </w:tr>
      <w:tr w:rsidR="00E652CD">
        <w:trPr>
          <w:cantSplit/>
          <w:trHeight w:val="100"/>
        </w:trPr>
        <w:tc>
          <w:tcPr>
            <w:tcW w:w="9319" w:type="dxa"/>
            <w:tcBorders>
              <w:top w:val="nil"/>
              <w:left w:val="nil"/>
              <w:bottom w:val="nil"/>
              <w:right w:val="nil"/>
            </w:tcBorders>
            <w:shd w:val="clear" w:color="auto" w:fill="auto"/>
          </w:tcPr>
          <w:p w:rsidR="00E652CD" w:rsidRDefault="0020768D">
            <w:pPr>
              <w:keepNext/>
              <w:keepLines/>
              <w:widowControl w:val="0"/>
              <w:spacing w:after="0" w:line="240" w:lineRule="auto"/>
              <w:rPr>
                <w:rFonts w:ascii="Verdana" w:hAnsi="Verdana" w:cs="Verdana"/>
                <w:sz w:val="20"/>
                <w:szCs w:val="20"/>
              </w:rPr>
            </w:pPr>
            <w:r>
              <w:rPr>
                <w:rFonts w:ascii="Verdana" w:hAnsi="Verdana" w:cs="Verdana"/>
                <w:sz w:val="20"/>
                <w:szCs w:val="20"/>
              </w:rPr>
              <w:t>17. Closing</w:t>
            </w:r>
          </w:p>
        </w:tc>
      </w:tr>
    </w:tbl>
    <w:p w:rsidR="00E652CD" w:rsidRDefault="0020768D">
      <w:pPr>
        <w:widowControl w:val="0"/>
        <w:spacing w:after="0" w:line="240" w:lineRule="auto"/>
        <w:rPr>
          <w:rFonts w:ascii="Arial" w:hAnsi="Arial" w:cs="Arial"/>
          <w:sz w:val="20"/>
          <w:szCs w:val="20"/>
        </w:rPr>
      </w:pPr>
      <w:r>
        <w:rPr>
          <w:rFonts w:ascii="Arial" w:hAnsi="Arial" w:cs="Arial"/>
          <w:sz w:val="20"/>
          <w:szCs w:val="20"/>
        </w:rPr>
        <w:t xml:space="preserve">             </w:t>
      </w:r>
    </w:p>
    <w:p w:rsidR="00E652CD" w:rsidRDefault="00E652CD">
      <w:pPr>
        <w:rPr>
          <w:rFonts w:ascii="Arial" w:hAnsi="Arial" w:cs="Arial"/>
          <w:sz w:val="20"/>
          <w:szCs w:val="20"/>
        </w:rPr>
      </w:pPr>
    </w:p>
    <w:p w:rsidR="00E652CD" w:rsidRDefault="0020768D">
      <w:pPr>
        <w:pageBreakBefore/>
        <w:jc w:val="center"/>
        <w:rPr>
          <w:b/>
          <w:smallCaps/>
          <w:sz w:val="32"/>
          <w:szCs w:val="32"/>
        </w:rPr>
      </w:pPr>
      <w:r>
        <w:rPr>
          <w:b/>
          <w:smallCaps/>
          <w:sz w:val="32"/>
          <w:szCs w:val="32"/>
        </w:rPr>
        <w:lastRenderedPageBreak/>
        <w:t>COST Action FA1307</w:t>
      </w:r>
    </w:p>
    <w:p w:rsidR="00E652CD" w:rsidRDefault="0020768D">
      <w:pPr>
        <w:jc w:val="center"/>
        <w:rPr>
          <w:b/>
          <w:sz w:val="32"/>
          <w:szCs w:val="32"/>
        </w:rPr>
      </w:pPr>
      <w:r>
        <w:rPr>
          <w:b/>
          <w:sz w:val="32"/>
          <w:szCs w:val="32"/>
        </w:rPr>
        <w:t>Sustainable pollination in Europe: joint research on bees and other pollinators (SUPER-B)</w:t>
      </w:r>
    </w:p>
    <w:p w:rsidR="00E652CD" w:rsidRDefault="0020768D">
      <w:pPr>
        <w:spacing w:after="120"/>
        <w:jc w:val="center"/>
        <w:rPr>
          <w:b/>
        </w:rPr>
      </w:pPr>
      <w:r>
        <w:rPr>
          <w:b/>
          <w:sz w:val="48"/>
        </w:rPr>
        <w:t xml:space="preserve">Minutes of the 3rd Management </w:t>
      </w:r>
      <w:r>
        <w:rPr>
          <w:b/>
          <w:sz w:val="48"/>
        </w:rPr>
        <w:t>Committee Meeting</w:t>
      </w:r>
      <w:r>
        <w:rPr>
          <w:b/>
        </w:rPr>
        <w:t> </w:t>
      </w:r>
    </w:p>
    <w:p w:rsidR="00E652CD" w:rsidRDefault="0020768D">
      <w:pPr>
        <w:jc w:val="center"/>
        <w:rPr>
          <w:b/>
        </w:rPr>
      </w:pPr>
      <w:r>
        <w:rPr>
          <w:b/>
        </w:rPr>
        <w:t>M</w:t>
      </w:r>
      <w:r>
        <w:rPr>
          <w:b/>
        </w:rPr>
        <w:t>C</w:t>
      </w:r>
      <w:r>
        <w:rPr>
          <w:b/>
        </w:rPr>
        <w:t>AST, Paola, Malta 6 November 2015</w:t>
      </w:r>
    </w:p>
    <w:p w:rsidR="00E652CD" w:rsidRDefault="0020768D">
      <w:pPr>
        <w:spacing w:after="120"/>
        <w:jc w:val="center"/>
        <w:rPr>
          <w:b/>
        </w:rPr>
      </w:pPr>
      <w:r>
        <w:rPr>
          <w:b/>
        </w:rPr>
        <w:t>  </w:t>
      </w:r>
    </w:p>
    <w:p w:rsidR="00E652CD" w:rsidRDefault="0020768D">
      <w:pPr>
        <w:tabs>
          <w:tab w:val="left" w:pos="540"/>
        </w:tabs>
        <w:spacing w:after="0" w:line="240" w:lineRule="auto"/>
        <w:jc w:val="both"/>
        <w:rPr>
          <w:b/>
        </w:rPr>
      </w:pPr>
      <w:r>
        <w:rPr>
          <w:b/>
        </w:rPr>
        <w:t>1</w:t>
      </w:r>
      <w:r>
        <w:rPr>
          <w:b/>
        </w:rPr>
        <w:tab/>
        <w:t>Welcome to participants</w:t>
      </w:r>
    </w:p>
    <w:p w:rsidR="00E652CD" w:rsidRDefault="0020768D">
      <w:pPr>
        <w:spacing w:after="0" w:line="240" w:lineRule="auto"/>
        <w:jc w:val="both"/>
      </w:pPr>
      <w:r>
        <w:t xml:space="preserve">The Action Chair </w:t>
      </w:r>
      <w:proofErr w:type="spellStart"/>
      <w:r>
        <w:t>Koos</w:t>
      </w:r>
      <w:proofErr w:type="spellEnd"/>
      <w:r>
        <w:t xml:space="preserve"> Biesmeijer officially opened the meeting 06/11/2015 at 13:07. The participants of the MC meeting of COST Action FA1307 were then welcomed by </w:t>
      </w:r>
      <w:proofErr w:type="spellStart"/>
      <w:r>
        <w:t>Koos</w:t>
      </w:r>
      <w:proofErr w:type="spellEnd"/>
      <w:r>
        <w:t xml:space="preserve"> Bie</w:t>
      </w:r>
      <w:r>
        <w:t xml:space="preserve">smeijer, who thanked Dr Mario </w:t>
      </w:r>
      <w:proofErr w:type="spellStart"/>
      <w:r>
        <w:t>Balzan</w:t>
      </w:r>
      <w:proofErr w:type="spellEnd"/>
      <w:r>
        <w:t>, the host of this Super-B meeting at M</w:t>
      </w:r>
      <w:r>
        <w:t>C</w:t>
      </w:r>
      <w:r>
        <w:t xml:space="preserve">AST (Malta College for Arts, Science and Technology), Malta. Then, the local COST officer, Dr Janet Mifsud, gave a welcome talk to the participants providing an overview of Malta </w:t>
      </w:r>
      <w:r>
        <w:t xml:space="preserve">and of the benefits of COST networking Actions. Hereafter, the meeting was chaired by </w:t>
      </w:r>
      <w:proofErr w:type="spellStart"/>
      <w:r>
        <w:t>Koos</w:t>
      </w:r>
      <w:proofErr w:type="spellEnd"/>
      <w:r>
        <w:t xml:space="preserve"> Biesmeijer.</w:t>
      </w:r>
    </w:p>
    <w:p w:rsidR="00E652CD" w:rsidRDefault="00E652CD">
      <w:pPr>
        <w:spacing w:after="0" w:line="240" w:lineRule="auto"/>
        <w:jc w:val="both"/>
      </w:pPr>
    </w:p>
    <w:p w:rsidR="00E652CD" w:rsidRDefault="00E652CD">
      <w:pPr>
        <w:spacing w:after="0" w:line="240" w:lineRule="auto"/>
        <w:rPr>
          <w:sz w:val="2"/>
        </w:rPr>
      </w:pPr>
    </w:p>
    <w:p w:rsidR="00E652CD" w:rsidRDefault="0020768D">
      <w:pPr>
        <w:tabs>
          <w:tab w:val="left" w:pos="540"/>
        </w:tabs>
        <w:spacing w:after="0" w:line="240" w:lineRule="auto"/>
        <w:jc w:val="both"/>
        <w:rPr>
          <w:b/>
        </w:rPr>
      </w:pPr>
      <w:r>
        <w:rPr>
          <w:b/>
        </w:rPr>
        <w:t>2</w:t>
      </w:r>
      <w:r>
        <w:rPr>
          <w:b/>
        </w:rPr>
        <w:tab/>
        <w:t>Adoption of the agenda</w:t>
      </w:r>
    </w:p>
    <w:p w:rsidR="00E652CD" w:rsidRDefault="0020768D">
      <w:pPr>
        <w:spacing w:after="0" w:line="240" w:lineRule="auto"/>
        <w:jc w:val="both"/>
      </w:pPr>
      <w:r>
        <w:t>The draft agenda was adopted.</w:t>
      </w:r>
    </w:p>
    <w:p w:rsidR="00E652CD" w:rsidRDefault="00E652CD">
      <w:pPr>
        <w:spacing w:after="0" w:line="240" w:lineRule="auto"/>
      </w:pPr>
    </w:p>
    <w:p w:rsidR="00E652CD" w:rsidRDefault="0020768D">
      <w:pPr>
        <w:tabs>
          <w:tab w:val="left" w:pos="540"/>
        </w:tabs>
        <w:spacing w:after="0" w:line="240" w:lineRule="auto"/>
        <w:jc w:val="both"/>
        <w:rPr>
          <w:b/>
        </w:rPr>
      </w:pPr>
      <w:r>
        <w:rPr>
          <w:b/>
        </w:rPr>
        <w:t>3</w:t>
      </w:r>
      <w:r>
        <w:rPr>
          <w:b/>
        </w:rPr>
        <w:tab/>
        <w:t>Approval of minutes and matters arising of last meeting</w:t>
      </w:r>
    </w:p>
    <w:p w:rsidR="00E652CD" w:rsidRDefault="0020768D">
      <w:pPr>
        <w:spacing w:after="0" w:line="240" w:lineRule="auto"/>
        <w:jc w:val="both"/>
      </w:pPr>
      <w:r>
        <w:t>The minutes of the 2</w:t>
      </w:r>
      <w:r>
        <w:rPr>
          <w:vertAlign w:val="superscript"/>
        </w:rPr>
        <w:t>nd</w:t>
      </w:r>
      <w:r>
        <w:t xml:space="preserve"> Management Com</w:t>
      </w:r>
      <w:r>
        <w:t>mittee Meeting, held at Rome, Italy on 4 November 2015, were adopted. Matters arising from these minutes will be discussed below under other agenda items.</w:t>
      </w:r>
    </w:p>
    <w:p w:rsidR="00E652CD" w:rsidRDefault="00E652CD">
      <w:pPr>
        <w:spacing w:after="0" w:line="240" w:lineRule="auto"/>
      </w:pPr>
    </w:p>
    <w:p w:rsidR="00E652CD" w:rsidRDefault="0020768D">
      <w:pPr>
        <w:spacing w:after="0" w:line="240" w:lineRule="auto"/>
        <w:ind w:left="567" w:hanging="567"/>
        <w:jc w:val="both"/>
        <w:rPr>
          <w:b/>
          <w:bCs/>
        </w:rPr>
      </w:pPr>
      <w:r>
        <w:rPr>
          <w:b/>
          <w:bCs/>
        </w:rPr>
        <w:t>4</w:t>
      </w:r>
      <w:r>
        <w:rPr>
          <w:b/>
          <w:bCs/>
        </w:rPr>
        <w:tab/>
        <w:t>Update from the Action Chair</w:t>
      </w:r>
    </w:p>
    <w:p w:rsidR="00E652CD" w:rsidRDefault="0020768D">
      <w:pPr>
        <w:spacing w:after="0" w:line="240" w:lineRule="auto"/>
        <w:jc w:val="both"/>
        <w:rPr>
          <w:b/>
          <w:bCs/>
        </w:rPr>
      </w:pPr>
      <w:r>
        <w:rPr>
          <w:b/>
          <w:bCs/>
        </w:rPr>
        <w:t>4a. Status of Action, including participating countries</w:t>
      </w:r>
    </w:p>
    <w:p w:rsidR="00E652CD" w:rsidRDefault="0020768D">
      <w:pPr>
        <w:tabs>
          <w:tab w:val="left" w:pos="720"/>
          <w:tab w:val="left" w:pos="1440"/>
        </w:tabs>
        <w:spacing w:after="0" w:line="240" w:lineRule="auto"/>
        <w:jc w:val="both"/>
      </w:pPr>
      <w:r>
        <w:t>There are cur</w:t>
      </w:r>
      <w:r>
        <w:t>rently 31 EU countries participating in Super-B, 1 NNC (Georgia) as well as New Zealand, South Africa and Argentina. In addition, there has been a request from Slovakia to join the action (see below for voting on this request.</w:t>
      </w:r>
    </w:p>
    <w:p w:rsidR="00E652CD" w:rsidRDefault="0020768D">
      <w:pPr>
        <w:spacing w:after="0" w:line="240" w:lineRule="auto"/>
        <w:jc w:val="both"/>
        <w:rPr>
          <w:lang w:val="en-US"/>
        </w:rPr>
      </w:pPr>
      <w:r>
        <w:rPr>
          <w:bCs/>
        </w:rPr>
        <w:t>Follow-ups on the MC decision</w:t>
      </w:r>
      <w:r>
        <w:rPr>
          <w:bCs/>
        </w:rPr>
        <w:t xml:space="preserve">s made last year were explained and where needed discussed. </w:t>
      </w:r>
      <w:r>
        <w:rPr>
          <w:bCs/>
          <w:u w:val="single"/>
        </w:rPr>
        <w:t>Decision 1</w:t>
      </w:r>
      <w:r>
        <w:rPr>
          <w:bCs/>
        </w:rPr>
        <w:t xml:space="preserve"> (</w:t>
      </w:r>
      <w:r>
        <w:t xml:space="preserve">establish a 15 December deadline for Year 1 </w:t>
      </w:r>
      <w:r>
        <w:rPr>
          <w:bCs/>
        </w:rPr>
        <w:t>STSM applications) was followed up</w:t>
      </w:r>
      <w:r>
        <w:t xml:space="preserve">. </w:t>
      </w:r>
      <w:r>
        <w:rPr>
          <w:bCs/>
          <w:u w:val="single"/>
        </w:rPr>
        <w:t>Decision 2</w:t>
      </w:r>
      <w:r>
        <w:rPr>
          <w:bCs/>
        </w:rPr>
        <w:t xml:space="preserve"> (</w:t>
      </w:r>
      <w:r>
        <w:rPr>
          <w:lang w:val="en-US"/>
        </w:rPr>
        <w:t xml:space="preserve">Core Group will write a small proposal for </w:t>
      </w:r>
      <w:r>
        <w:rPr>
          <w:bCs/>
          <w:lang w:val="en-US"/>
        </w:rPr>
        <w:t>membership criteria), was discussed in the core g</w:t>
      </w:r>
      <w:r>
        <w:rPr>
          <w:bCs/>
          <w:lang w:val="en-US"/>
        </w:rPr>
        <w:t xml:space="preserve">roup meeting. It was decided there to propose to the MC to NOT have specific criteria for membership. All individuals and </w:t>
      </w:r>
      <w:proofErr w:type="spellStart"/>
      <w:r>
        <w:rPr>
          <w:bCs/>
          <w:lang w:val="en-US"/>
        </w:rPr>
        <w:t>organisations</w:t>
      </w:r>
      <w:proofErr w:type="spellEnd"/>
      <w:r>
        <w:rPr>
          <w:bCs/>
          <w:lang w:val="en-US"/>
        </w:rPr>
        <w:t xml:space="preserve"> whose interests and activities match the Super-B objectives are welcome. If conflict do occur or may be anticipated, thi</w:t>
      </w:r>
      <w:r>
        <w:rPr>
          <w:bCs/>
          <w:lang w:val="en-US"/>
        </w:rPr>
        <w:t>s will be discussed in the MC meeting. This proposal was</w:t>
      </w:r>
      <w:r>
        <w:rPr>
          <w:lang w:val="en-US"/>
        </w:rPr>
        <w:t xml:space="preserve"> unanimously accepted in voting by the MC. Decision 3 and 5 were adopted without follow-up needed. </w:t>
      </w:r>
      <w:r>
        <w:rPr>
          <w:bCs/>
          <w:u w:val="single"/>
        </w:rPr>
        <w:t>Decision 4</w:t>
      </w:r>
      <w:r>
        <w:rPr>
          <w:bCs/>
        </w:rPr>
        <w:t xml:space="preserve"> stated that the</w:t>
      </w:r>
      <w:r>
        <w:rPr>
          <w:lang w:val="en-US"/>
        </w:rPr>
        <w:t xml:space="preserve"> Core Group will make a proposal to investigate the possibility and use of </w:t>
      </w:r>
      <w:r>
        <w:rPr>
          <w:lang w:val="en-US"/>
        </w:rPr>
        <w:t xml:space="preserve">having a few </w:t>
      </w:r>
      <w:r>
        <w:rPr>
          <w:bCs/>
          <w:lang w:val="en-US"/>
        </w:rPr>
        <w:t xml:space="preserve">small (2 minute) videos </w:t>
      </w:r>
      <w:r>
        <w:rPr>
          <w:lang w:val="en-US"/>
        </w:rPr>
        <w:t>on important Super-B themes for dissemination purposes. The MC discussed that this was a good idea, but agreed with the Core Group that it would be better implemented next year, when more results are coming in.</w:t>
      </w:r>
    </w:p>
    <w:p w:rsidR="00E652CD" w:rsidRDefault="0020768D">
      <w:pPr>
        <w:spacing w:after="0" w:line="240" w:lineRule="auto"/>
        <w:jc w:val="both"/>
        <w:rPr>
          <w:b/>
          <w:bCs/>
        </w:rPr>
      </w:pPr>
      <w:r>
        <w:rPr>
          <w:b/>
          <w:bCs/>
        </w:rPr>
        <w:t>4b. Acti</w:t>
      </w:r>
      <w:r>
        <w:rPr>
          <w:b/>
          <w:bCs/>
        </w:rPr>
        <w:t>on budget status</w:t>
      </w:r>
    </w:p>
    <w:p w:rsidR="00E652CD" w:rsidRDefault="0020768D">
      <w:pPr>
        <w:spacing w:after="0" w:line="240" w:lineRule="auto"/>
        <w:jc w:val="both"/>
      </w:pPr>
      <w:r>
        <w:lastRenderedPageBreak/>
        <w:t>Budget overview was given. Chair explained items of the budget based on the accepted Work and Budget Plan, such as meetings, training school, STSMs and the annual support for maintaining the website. The budget for year 2 has been calculat</w:t>
      </w:r>
      <w:r>
        <w:t xml:space="preserve">ed by COST (based on the number of member countries) as 170,000 €. The use of the budget has been detailed in the Work and Budget Plan, previously accepted by the MC, all proposed activities will be reviewed in this MC meeting in the light of the progress </w:t>
      </w:r>
      <w:r>
        <w:t>and updated plans made during the last three days of workshops. See for more explanation below and summary at the end.</w:t>
      </w:r>
    </w:p>
    <w:p w:rsidR="00E652CD" w:rsidRDefault="00E652CD">
      <w:pPr>
        <w:tabs>
          <w:tab w:val="left" w:pos="142"/>
        </w:tabs>
        <w:spacing w:after="0" w:line="240" w:lineRule="auto"/>
        <w:jc w:val="both"/>
      </w:pPr>
    </w:p>
    <w:p w:rsidR="00E652CD" w:rsidRDefault="0020768D">
      <w:pPr>
        <w:spacing w:after="0" w:line="240" w:lineRule="auto"/>
        <w:jc w:val="both"/>
        <w:rPr>
          <w:b/>
          <w:bCs/>
        </w:rPr>
      </w:pPr>
      <w:r>
        <w:rPr>
          <w:b/>
          <w:bCs/>
        </w:rPr>
        <w:t>4c. STSM application procedure</w:t>
      </w:r>
    </w:p>
    <w:p w:rsidR="00E652CD" w:rsidRDefault="0020768D">
      <w:pPr>
        <w:spacing w:after="0" w:line="240" w:lineRule="auto"/>
        <w:jc w:val="both"/>
      </w:pPr>
      <w:r>
        <w:t xml:space="preserve">Budget for STSMs is this year 11,039€ and seven STSMs are foreseen. Anna </w:t>
      </w:r>
      <w:proofErr w:type="spellStart"/>
      <w:r>
        <w:t>Gajda</w:t>
      </w:r>
      <w:proofErr w:type="spellEnd"/>
      <w:r>
        <w:t xml:space="preserve"> from Warsaw, Poland gave a</w:t>
      </w:r>
      <w:r>
        <w:t xml:space="preserve"> short overview of her STSM visit to the lab of </w:t>
      </w:r>
      <w:proofErr w:type="spellStart"/>
      <w:r>
        <w:t>Dr.</w:t>
      </w:r>
      <w:proofErr w:type="spellEnd"/>
      <w:r>
        <w:t xml:space="preserve"> Per </w:t>
      </w:r>
      <w:proofErr w:type="spellStart"/>
      <w:r>
        <w:t>Kryger</w:t>
      </w:r>
      <w:proofErr w:type="spellEnd"/>
      <w:r>
        <w:t xml:space="preserve"> in Denmark on bumblebee viruses and explained the procedure. The host provided additional information on how useful and enjoyable to experience had been. He emphasized that it was a straightfor</w:t>
      </w:r>
      <w:r>
        <w:t>ward and smooth procedure. PEOPLE WERE ENCOURAGED TO APPLY FOR MORE STSMs.</w:t>
      </w:r>
    </w:p>
    <w:p w:rsidR="00E652CD" w:rsidRDefault="0020768D">
      <w:pPr>
        <w:spacing w:after="0" w:line="240" w:lineRule="auto"/>
        <w:jc w:val="both"/>
      </w:pPr>
      <w:r>
        <w:t>The Vice Chair raised the matter of the 1</w:t>
      </w:r>
      <w:r>
        <w:rPr>
          <w:vertAlign w:val="superscript"/>
        </w:rPr>
        <w:t>st</w:t>
      </w:r>
      <w:r>
        <w:t xml:space="preserve"> of June end of budget year. This falls in the middle of the field season and makes some STSMs, that could be crucial to Super-B, very dif</w:t>
      </w:r>
      <w:r>
        <w:t>ficult. The MC agreed the Vice Chair’s proposal (</w:t>
      </w:r>
      <w:r>
        <w:rPr>
          <w:b/>
          <w:i/>
        </w:rPr>
        <w:t>DECISION 15-1</w:t>
      </w:r>
      <w:r>
        <w:t>) that the Chair will ask COST office whether and how STSMs overrunning the budget year can be accommodated.</w:t>
      </w:r>
    </w:p>
    <w:p w:rsidR="00E652CD" w:rsidRDefault="0020768D">
      <w:pPr>
        <w:spacing w:after="0" w:line="240" w:lineRule="auto"/>
        <w:jc w:val="both"/>
      </w:pPr>
      <w:r>
        <w:t>Three applications have been received for year 2. They all fit well with the Action’s</w:t>
      </w:r>
      <w:r>
        <w:t xml:space="preserve"> objectives and were proposed for acceptance by the STSM coordinator and Chair. The MC accepted this proposal. The STSM application procedure was discussed and the MC agreed to change the procedure a little bit.</w:t>
      </w:r>
    </w:p>
    <w:p w:rsidR="00E652CD" w:rsidRDefault="0020768D">
      <w:pPr>
        <w:spacing w:after="0" w:line="240" w:lineRule="auto"/>
        <w:jc w:val="both"/>
      </w:pPr>
      <w:r>
        <w:t>It is decided (</w:t>
      </w:r>
      <w:r>
        <w:rPr>
          <w:b/>
          <w:i/>
        </w:rPr>
        <w:t>DECISION 15-2</w:t>
      </w:r>
      <w:r>
        <w:t>) that we establ</w:t>
      </w:r>
      <w:r>
        <w:t>ish 1</w:t>
      </w:r>
      <w:r>
        <w:rPr>
          <w:vertAlign w:val="superscript"/>
        </w:rPr>
        <w:t>st</w:t>
      </w:r>
      <w:r>
        <w:t xml:space="preserve"> December deadline for Year 2 STSM applications. The Core group (Chair, Vice-Chair, WG leads and STSM coordinator) will then decide which STSMs will be approved, taking into account the fit with Action objectives, gender balance, ESR participation a</w:t>
      </w:r>
      <w:r>
        <w:t>nd inclusiveness country participation.</w:t>
      </w:r>
    </w:p>
    <w:p w:rsidR="00E652CD" w:rsidRDefault="00E652CD">
      <w:pPr>
        <w:tabs>
          <w:tab w:val="left" w:pos="142"/>
        </w:tabs>
        <w:spacing w:after="0" w:line="240" w:lineRule="auto"/>
        <w:ind w:left="142" w:hanging="142"/>
        <w:jc w:val="both"/>
        <w:rPr>
          <w:b/>
        </w:rPr>
      </w:pPr>
    </w:p>
    <w:p w:rsidR="00E652CD" w:rsidRDefault="0020768D">
      <w:pPr>
        <w:tabs>
          <w:tab w:val="left" w:pos="540"/>
        </w:tabs>
        <w:spacing w:after="0" w:line="240" w:lineRule="auto"/>
        <w:jc w:val="both"/>
        <w:rPr>
          <w:b/>
          <w:bCs/>
        </w:rPr>
      </w:pPr>
      <w:r>
        <w:rPr>
          <w:b/>
        </w:rPr>
        <w:t>5</w:t>
      </w:r>
      <w:r>
        <w:rPr>
          <w:b/>
        </w:rPr>
        <w:tab/>
      </w:r>
      <w:r>
        <w:rPr>
          <w:b/>
          <w:bCs/>
        </w:rPr>
        <w:t>Promotion of gender balance and of Early Stage Researchers (ESR)</w:t>
      </w:r>
    </w:p>
    <w:p w:rsidR="00E652CD" w:rsidRDefault="0020768D">
      <w:pPr>
        <w:tabs>
          <w:tab w:val="left" w:pos="540"/>
        </w:tabs>
        <w:spacing w:after="0" w:line="240" w:lineRule="auto"/>
        <w:jc w:val="both"/>
      </w:pPr>
      <w:r>
        <w:t>The Chair reiterates again the importance that COST puts on three aspects of participation of members to Action activities, namely gender balance, E</w:t>
      </w:r>
      <w:r>
        <w:t>SRs, as well as inclusiveness countries. These three criteria will be guiding all activities of Super-B</w:t>
      </w:r>
    </w:p>
    <w:p w:rsidR="00E652CD" w:rsidRDefault="00E652CD">
      <w:pPr>
        <w:tabs>
          <w:tab w:val="left" w:pos="540"/>
        </w:tabs>
        <w:spacing w:after="0" w:line="240" w:lineRule="auto"/>
        <w:jc w:val="both"/>
      </w:pPr>
    </w:p>
    <w:p w:rsidR="00E652CD" w:rsidRDefault="0020768D">
      <w:pPr>
        <w:tabs>
          <w:tab w:val="left" w:pos="540"/>
        </w:tabs>
        <w:spacing w:after="0" w:line="240" w:lineRule="auto"/>
        <w:jc w:val="both"/>
        <w:rPr>
          <w:b/>
          <w:bCs/>
        </w:rPr>
      </w:pPr>
      <w:r>
        <w:rPr>
          <w:b/>
        </w:rPr>
        <w:t>6</w:t>
      </w:r>
      <w:r>
        <w:rPr>
          <w:b/>
        </w:rPr>
        <w:tab/>
      </w:r>
      <w:r>
        <w:rPr>
          <w:b/>
          <w:bCs/>
        </w:rPr>
        <w:t>Update from the Grant Holder</w:t>
      </w:r>
    </w:p>
    <w:p w:rsidR="00E652CD" w:rsidRDefault="0020768D">
      <w:pPr>
        <w:spacing w:after="0" w:line="240" w:lineRule="auto"/>
        <w:jc w:val="both"/>
      </w:pPr>
      <w:r>
        <w:t>No news from the Grant Holder, Naturalis Biodiversity Centre. The reimbursement mechanism is shortly summarized as it wi</w:t>
      </w:r>
      <w:r>
        <w:t>ll be the first time for some MC members to request reimbursement after this MC meeting.</w:t>
      </w:r>
    </w:p>
    <w:p w:rsidR="00E652CD" w:rsidRDefault="00E652CD">
      <w:pPr>
        <w:tabs>
          <w:tab w:val="left" w:pos="540"/>
        </w:tabs>
        <w:spacing w:after="0" w:line="240" w:lineRule="auto"/>
        <w:jc w:val="both"/>
      </w:pPr>
    </w:p>
    <w:p w:rsidR="00E652CD" w:rsidRDefault="0020768D">
      <w:pPr>
        <w:tabs>
          <w:tab w:val="left" w:pos="540"/>
        </w:tabs>
        <w:spacing w:after="0" w:line="240" w:lineRule="auto"/>
        <w:jc w:val="both"/>
        <w:rPr>
          <w:b/>
          <w:bCs/>
        </w:rPr>
      </w:pPr>
      <w:r>
        <w:rPr>
          <w:b/>
        </w:rPr>
        <w:t>7</w:t>
      </w:r>
      <w:r>
        <w:rPr>
          <w:b/>
        </w:rPr>
        <w:tab/>
      </w:r>
      <w:r>
        <w:rPr>
          <w:b/>
          <w:bCs/>
        </w:rPr>
        <w:t>Update from the COST Office</w:t>
      </w:r>
    </w:p>
    <w:p w:rsidR="00E652CD" w:rsidRDefault="0020768D">
      <w:pPr>
        <w:spacing w:after="0" w:line="240" w:lineRule="auto"/>
      </w:pPr>
      <w:r>
        <w:t xml:space="preserve">The Action’s Scientific Officer (SO) is </w:t>
      </w:r>
      <w:proofErr w:type="spellStart"/>
      <w:r>
        <w:t>Ioanna</w:t>
      </w:r>
      <w:proofErr w:type="spellEnd"/>
      <w:r>
        <w:t xml:space="preserve"> </w:t>
      </w:r>
      <w:proofErr w:type="spellStart"/>
      <w:r>
        <w:t>Stavridou</w:t>
      </w:r>
      <w:proofErr w:type="spellEnd"/>
      <w:r>
        <w:t>, she could not be present at the MC meeting.</w:t>
      </w:r>
    </w:p>
    <w:p w:rsidR="00E652CD" w:rsidRDefault="00E652CD">
      <w:pPr>
        <w:spacing w:after="0" w:line="240" w:lineRule="auto"/>
      </w:pPr>
    </w:p>
    <w:p w:rsidR="00E652CD" w:rsidRDefault="0020768D">
      <w:pPr>
        <w:tabs>
          <w:tab w:val="left" w:pos="540"/>
        </w:tabs>
        <w:spacing w:after="0" w:line="240" w:lineRule="auto"/>
        <w:jc w:val="both"/>
        <w:rPr>
          <w:b/>
          <w:bCs/>
        </w:rPr>
      </w:pPr>
      <w:r>
        <w:rPr>
          <w:b/>
        </w:rPr>
        <w:t>8</w:t>
      </w:r>
      <w:r>
        <w:rPr>
          <w:b/>
        </w:rPr>
        <w:tab/>
      </w:r>
      <w:r>
        <w:rPr>
          <w:b/>
          <w:bCs/>
        </w:rPr>
        <w:t>Annual Progress Conference (act</w:t>
      </w:r>
      <w:r>
        <w:rPr>
          <w:b/>
          <w:bCs/>
        </w:rPr>
        <w:t>ions following from meetings on last few days)</w:t>
      </w:r>
    </w:p>
    <w:p w:rsidR="00E652CD" w:rsidRDefault="0020768D">
      <w:pPr>
        <w:tabs>
          <w:tab w:val="left" w:pos="540"/>
        </w:tabs>
        <w:spacing w:after="0" w:line="240" w:lineRule="auto"/>
        <w:jc w:val="both"/>
      </w:pPr>
      <w:r>
        <w:t>Progress will be discussed at point 10</w:t>
      </w:r>
    </w:p>
    <w:p w:rsidR="00E652CD" w:rsidRDefault="00E652CD">
      <w:pPr>
        <w:tabs>
          <w:tab w:val="left" w:pos="540"/>
        </w:tabs>
        <w:spacing w:after="0" w:line="240" w:lineRule="auto"/>
        <w:jc w:val="both"/>
      </w:pPr>
    </w:p>
    <w:p w:rsidR="00E652CD" w:rsidRDefault="0020768D">
      <w:pPr>
        <w:tabs>
          <w:tab w:val="left" w:pos="540"/>
        </w:tabs>
        <w:spacing w:after="0" w:line="240" w:lineRule="auto"/>
        <w:jc w:val="both"/>
        <w:rPr>
          <w:b/>
          <w:bCs/>
        </w:rPr>
      </w:pPr>
      <w:r>
        <w:rPr>
          <w:b/>
        </w:rPr>
        <w:t>9</w:t>
      </w:r>
      <w:r>
        <w:rPr>
          <w:b/>
        </w:rPr>
        <w:tab/>
      </w:r>
      <w:r>
        <w:rPr>
          <w:b/>
          <w:bCs/>
        </w:rPr>
        <w:t>STSM application procedure</w:t>
      </w:r>
    </w:p>
    <w:p w:rsidR="00E652CD" w:rsidRDefault="0020768D">
      <w:pPr>
        <w:tabs>
          <w:tab w:val="left" w:pos="540"/>
        </w:tabs>
        <w:spacing w:after="0" w:line="240" w:lineRule="auto"/>
        <w:jc w:val="both"/>
      </w:pPr>
      <w:r>
        <w:t>This has been discussed under point 4c</w:t>
      </w:r>
    </w:p>
    <w:p w:rsidR="00E652CD" w:rsidRDefault="00E652CD">
      <w:pPr>
        <w:tabs>
          <w:tab w:val="left" w:pos="540"/>
        </w:tabs>
        <w:spacing w:after="0" w:line="240" w:lineRule="auto"/>
        <w:jc w:val="both"/>
      </w:pPr>
    </w:p>
    <w:p w:rsidR="00E652CD" w:rsidRDefault="0020768D">
      <w:pPr>
        <w:tabs>
          <w:tab w:val="left" w:pos="540"/>
        </w:tabs>
        <w:spacing w:after="0" w:line="240" w:lineRule="auto"/>
        <w:jc w:val="both"/>
        <w:rPr>
          <w:b/>
          <w:bCs/>
        </w:rPr>
      </w:pPr>
      <w:r>
        <w:rPr>
          <w:b/>
        </w:rPr>
        <w:t>10</w:t>
      </w:r>
      <w:r>
        <w:rPr>
          <w:b/>
        </w:rPr>
        <w:tab/>
      </w:r>
      <w:r>
        <w:rPr>
          <w:b/>
          <w:bCs/>
        </w:rPr>
        <w:t xml:space="preserve">Follow-up of MoU objectives: </w:t>
      </w:r>
    </w:p>
    <w:p w:rsidR="00E652CD" w:rsidRDefault="0020768D">
      <w:pPr>
        <w:tabs>
          <w:tab w:val="left" w:pos="540"/>
        </w:tabs>
        <w:spacing w:after="0" w:line="240" w:lineRule="auto"/>
        <w:jc w:val="both"/>
      </w:pPr>
      <w:r>
        <w:lastRenderedPageBreak/>
        <w:t xml:space="preserve">Chair recapitulates the main objectives of the action, how these </w:t>
      </w:r>
      <w:r>
        <w:t>are linked to the working groups and dissemination activities, and stresses that we need to identify the key steps that will allow us to reach the objectives. Progress reports follow of working groups and dissemination (see below). The Action Chair explain</w:t>
      </w:r>
      <w:r>
        <w:t>ed the basic principles of networking and how the scientific strategy is determined in the COST Actions. All members are again strongly encouraged to take an active role in Super-B.</w:t>
      </w:r>
    </w:p>
    <w:p w:rsidR="00E652CD" w:rsidRDefault="0020768D">
      <w:pPr>
        <w:tabs>
          <w:tab w:val="left" w:pos="540"/>
        </w:tabs>
        <w:spacing w:after="0" w:line="240" w:lineRule="auto"/>
        <w:jc w:val="both"/>
        <w:rPr>
          <w:rFonts w:cs="Calibri"/>
        </w:rPr>
      </w:pPr>
      <w:r>
        <w:rPr>
          <w:rFonts w:cs="Calibri"/>
        </w:rPr>
        <w:t>Several important aspect</w:t>
      </w:r>
      <w:r>
        <w:rPr>
          <w:rFonts w:cs="Calibri"/>
        </w:rPr>
        <w:t>s</w:t>
      </w:r>
      <w:r>
        <w:rPr>
          <w:rFonts w:cs="Calibri"/>
        </w:rPr>
        <w:t xml:space="preserve"> came up during the explanation and discussion of</w:t>
      </w:r>
      <w:r>
        <w:rPr>
          <w:rFonts w:cs="Calibri"/>
        </w:rPr>
        <w:t xml:space="preserve"> the Action’s objectives.</w:t>
      </w:r>
    </w:p>
    <w:p w:rsidR="00E652CD" w:rsidRDefault="0020768D">
      <w:pPr>
        <w:pStyle w:val="Lijstalinea"/>
        <w:numPr>
          <w:ilvl w:val="0"/>
          <w:numId w:val="1"/>
        </w:numPr>
        <w:tabs>
          <w:tab w:val="left" w:pos="567"/>
        </w:tabs>
        <w:ind w:left="567"/>
        <w:jc w:val="both"/>
        <w:rPr>
          <w:rFonts w:ascii="Calibri" w:hAnsi="Calibri" w:cs="Calibri"/>
          <w:color w:val="00000A"/>
          <w:sz w:val="22"/>
          <w:szCs w:val="22"/>
        </w:rPr>
      </w:pPr>
      <w:r>
        <w:rPr>
          <w:rFonts w:ascii="Calibri" w:hAnsi="Calibri" w:cs="Calibri"/>
          <w:color w:val="00000A"/>
          <w:sz w:val="22"/>
          <w:szCs w:val="22"/>
        </w:rPr>
        <w:t xml:space="preserve">A suggestion by Lynn Dicks for Super-B members to highlighting SUPER-B in their e-mail signatures received a warm welcome. A link to the project’s website can be included: </w:t>
      </w:r>
      <w:hyperlink r:id="rId9">
        <w:r>
          <w:rPr>
            <w:rStyle w:val="VisitedInternetLink"/>
            <w:rFonts w:ascii="Calibri" w:hAnsi="Calibri" w:cs="Calibri"/>
            <w:color w:val="00000A"/>
            <w:sz w:val="22"/>
            <w:szCs w:val="22"/>
          </w:rPr>
          <w:t>www.super</w:t>
        </w:r>
        <w:r>
          <w:rPr>
            <w:rStyle w:val="VisitedInternetLink"/>
            <w:rFonts w:ascii="Calibri" w:hAnsi="Calibri" w:cs="Calibri"/>
            <w:color w:val="00000A"/>
            <w:sz w:val="22"/>
            <w:szCs w:val="22"/>
          </w:rPr>
          <w:t>b-project.eu</w:t>
        </w:r>
      </w:hyperlink>
      <w:r>
        <w:rPr>
          <w:rFonts w:ascii="Calibri" w:hAnsi="Calibri" w:cs="Calibri"/>
          <w:color w:val="00000A"/>
          <w:sz w:val="22"/>
          <w:szCs w:val="22"/>
        </w:rPr>
        <w:t xml:space="preserve">.  </w:t>
      </w:r>
    </w:p>
    <w:p w:rsidR="00E652CD" w:rsidRDefault="0020768D">
      <w:pPr>
        <w:pStyle w:val="Lijstalinea"/>
        <w:numPr>
          <w:ilvl w:val="0"/>
          <w:numId w:val="1"/>
        </w:numPr>
        <w:tabs>
          <w:tab w:val="left" w:pos="567"/>
        </w:tabs>
        <w:ind w:left="567"/>
        <w:jc w:val="both"/>
        <w:rPr>
          <w:rFonts w:ascii="Calibri" w:hAnsi="Calibri" w:cs="Calibri"/>
          <w:color w:val="00000A"/>
          <w:sz w:val="22"/>
          <w:szCs w:val="22"/>
        </w:rPr>
      </w:pPr>
      <w:r>
        <w:rPr>
          <w:rFonts w:ascii="Calibri" w:hAnsi="Calibri" w:cs="Calibri"/>
          <w:color w:val="00000A"/>
          <w:sz w:val="22"/>
          <w:szCs w:val="22"/>
        </w:rPr>
        <w:t>The message was reinforced to add acknowledgements to Super-B in our scientific papers and other outputs</w:t>
      </w:r>
      <w:r w:rsidR="001D7693">
        <w:rPr>
          <w:rFonts w:ascii="Calibri" w:hAnsi="Calibri" w:cs="Calibri"/>
          <w:color w:val="00000A"/>
          <w:sz w:val="22"/>
          <w:szCs w:val="22"/>
        </w:rPr>
        <w:t xml:space="preserve"> related to Super-B activities</w:t>
      </w:r>
      <w:r>
        <w:rPr>
          <w:rFonts w:ascii="Calibri" w:hAnsi="Calibri" w:cs="Calibri"/>
          <w:color w:val="00000A"/>
          <w:sz w:val="22"/>
          <w:szCs w:val="22"/>
        </w:rPr>
        <w:t xml:space="preserve">. The Chair checked this with COST. </w:t>
      </w:r>
    </w:p>
    <w:p w:rsidR="00E652CD" w:rsidRDefault="0020768D">
      <w:pPr>
        <w:pStyle w:val="Lijstalinea"/>
        <w:tabs>
          <w:tab w:val="left" w:pos="567"/>
        </w:tabs>
        <w:ind w:left="567"/>
        <w:jc w:val="both"/>
        <w:rPr>
          <w:rFonts w:ascii="Calibri" w:hAnsi="Calibri" w:cs="Calibri"/>
          <w:b/>
          <w:color w:val="00000A"/>
          <w:sz w:val="22"/>
          <w:szCs w:val="22"/>
        </w:rPr>
      </w:pPr>
      <w:r>
        <w:rPr>
          <w:rFonts w:ascii="Calibri" w:hAnsi="Calibri" w:cs="Calibri"/>
          <w:color w:val="00000A"/>
          <w:sz w:val="22"/>
          <w:szCs w:val="22"/>
        </w:rPr>
        <w:t xml:space="preserve">The template to add to papers is: </w:t>
      </w:r>
      <w:r>
        <w:rPr>
          <w:rFonts w:ascii="Calibri" w:hAnsi="Calibri" w:cs="Calibri"/>
          <w:b/>
          <w:color w:val="00000A"/>
          <w:sz w:val="22"/>
          <w:szCs w:val="22"/>
        </w:rPr>
        <w:t>“This article is based upon work from COST Action FA 1307 Super-B</w:t>
      </w:r>
      <w:r>
        <w:rPr>
          <w:rFonts w:ascii="Calibri" w:hAnsi="Calibri" w:cs="Calibri"/>
          <w:b/>
          <w:color w:val="00000A"/>
          <w:sz w:val="22"/>
          <w:szCs w:val="22"/>
        </w:rPr>
        <w:t xml:space="preserve"> (</w:t>
      </w:r>
      <w:hyperlink r:id="rId10">
        <w:r>
          <w:rPr>
            <w:rStyle w:val="InternetLink"/>
            <w:rFonts w:ascii="Calibri" w:hAnsi="Calibri" w:cs="Calibri"/>
            <w:b/>
            <w:color w:val="00000A"/>
            <w:sz w:val="22"/>
            <w:szCs w:val="22"/>
          </w:rPr>
          <w:t>www.superb-project.eu</w:t>
        </w:r>
      </w:hyperlink>
      <w:r>
        <w:rPr>
          <w:rFonts w:ascii="Calibri" w:hAnsi="Calibri" w:cs="Calibri"/>
          <w:b/>
          <w:color w:val="00000A"/>
          <w:sz w:val="22"/>
          <w:szCs w:val="22"/>
        </w:rPr>
        <w:t>), supported by COST (European Cooperation in Science and Technology)”.</w:t>
      </w:r>
    </w:p>
    <w:p w:rsidR="00E652CD" w:rsidRDefault="0020768D">
      <w:pPr>
        <w:pStyle w:val="Lijstalinea"/>
        <w:numPr>
          <w:ilvl w:val="0"/>
          <w:numId w:val="1"/>
        </w:numPr>
        <w:tabs>
          <w:tab w:val="left" w:pos="567"/>
        </w:tabs>
        <w:ind w:left="567"/>
        <w:jc w:val="both"/>
        <w:rPr>
          <w:rFonts w:ascii="Calibri" w:hAnsi="Calibri" w:cs="Calibri"/>
          <w:color w:val="00000A"/>
          <w:sz w:val="22"/>
          <w:szCs w:val="22"/>
        </w:rPr>
      </w:pPr>
      <w:r>
        <w:rPr>
          <w:rFonts w:ascii="Calibri" w:hAnsi="Calibri" w:cs="Calibri"/>
          <w:color w:val="00000A"/>
          <w:sz w:val="22"/>
          <w:szCs w:val="22"/>
        </w:rPr>
        <w:t>It was discussed how objective 4 (publish stan</w:t>
      </w:r>
      <w:bookmarkStart w:id="0" w:name="_GoBack"/>
      <w:bookmarkEnd w:id="0"/>
      <w:r>
        <w:rPr>
          <w:rFonts w:ascii="Calibri" w:hAnsi="Calibri" w:cs="Calibri"/>
          <w:color w:val="00000A"/>
          <w:sz w:val="22"/>
          <w:szCs w:val="22"/>
        </w:rPr>
        <w:t xml:space="preserve">dardized methods…) could be achieved. The successful </w:t>
      </w:r>
      <w:proofErr w:type="spellStart"/>
      <w:r>
        <w:rPr>
          <w:rFonts w:ascii="Calibri" w:hAnsi="Calibri" w:cs="Calibri"/>
          <w:color w:val="00000A"/>
          <w:sz w:val="22"/>
          <w:szCs w:val="22"/>
        </w:rPr>
        <w:t>CoLoSS</w:t>
      </w:r>
      <w:proofErr w:type="spellEnd"/>
      <w:r>
        <w:rPr>
          <w:rFonts w:ascii="Calibri" w:hAnsi="Calibri" w:cs="Calibri"/>
          <w:color w:val="00000A"/>
          <w:sz w:val="22"/>
          <w:szCs w:val="22"/>
        </w:rPr>
        <w:t xml:space="preserve"> Bee bo</w:t>
      </w:r>
      <w:r>
        <w:rPr>
          <w:rFonts w:ascii="Calibri" w:hAnsi="Calibri" w:cs="Calibri"/>
          <w:color w:val="00000A"/>
          <w:sz w:val="22"/>
          <w:szCs w:val="22"/>
        </w:rPr>
        <w:t>oks served as an example. It was discussed where a book would be a good output to aim at or whether standardized methods could be published in individual papers. Most agreed that (</w:t>
      </w:r>
      <w:proofErr w:type="spellStart"/>
      <w:r>
        <w:rPr>
          <w:rFonts w:ascii="Calibri" w:hAnsi="Calibri" w:cs="Calibri"/>
          <w:color w:val="00000A"/>
          <w:sz w:val="22"/>
          <w:szCs w:val="22"/>
        </w:rPr>
        <w:t>i</w:t>
      </w:r>
      <w:proofErr w:type="spellEnd"/>
      <w:r>
        <w:rPr>
          <w:rFonts w:ascii="Calibri" w:hAnsi="Calibri" w:cs="Calibri"/>
          <w:color w:val="00000A"/>
          <w:sz w:val="22"/>
          <w:szCs w:val="22"/>
        </w:rPr>
        <w:t>) publishing standard methods is important to move the field forward, if (i</w:t>
      </w:r>
      <w:r>
        <w:rPr>
          <w:rFonts w:ascii="Calibri" w:hAnsi="Calibri" w:cs="Calibri"/>
          <w:color w:val="00000A"/>
          <w:sz w:val="22"/>
          <w:szCs w:val="22"/>
        </w:rPr>
        <w:t>i) there is a good scope for the book’s aims and topics; (iii) individual papers may be the best way forward, as most members would be reluctant to commit to writing a book chapter, however (iv) active commitment of a small group of members with a clear an</w:t>
      </w:r>
      <w:r>
        <w:rPr>
          <w:rFonts w:ascii="Calibri" w:hAnsi="Calibri" w:cs="Calibri"/>
          <w:color w:val="00000A"/>
          <w:sz w:val="22"/>
          <w:szCs w:val="22"/>
        </w:rPr>
        <w:t xml:space="preserve">d concise concept for a book may be a good reason to pursue </w:t>
      </w:r>
      <w:r>
        <w:rPr>
          <w:rFonts w:ascii="Calibri" w:hAnsi="Calibri" w:cs="Calibri"/>
          <w:color w:val="00000A"/>
          <w:sz w:val="22"/>
          <w:szCs w:val="22"/>
        </w:rPr>
        <w:t>the idea (some members expressed their interest</w:t>
      </w:r>
      <w:r>
        <w:rPr>
          <w:rFonts w:ascii="Calibri" w:hAnsi="Calibri" w:cs="Calibri"/>
          <w:color w:val="00000A"/>
          <w:sz w:val="22"/>
          <w:szCs w:val="22"/>
        </w:rPr>
        <w:t>)</w:t>
      </w:r>
      <w:r>
        <w:rPr>
          <w:rFonts w:ascii="Calibri" w:hAnsi="Calibri" w:cs="Calibri"/>
          <w:color w:val="00000A"/>
          <w:sz w:val="22"/>
          <w:szCs w:val="22"/>
        </w:rPr>
        <w:t>; therefore (v) over time we can even explore the possibility of merging individual methods papers into a single pdf-file or book. Topic will c</w:t>
      </w:r>
      <w:r>
        <w:rPr>
          <w:rFonts w:ascii="Calibri" w:hAnsi="Calibri" w:cs="Calibri"/>
          <w:color w:val="00000A"/>
          <w:sz w:val="22"/>
          <w:szCs w:val="22"/>
        </w:rPr>
        <w:t>ome back on the agenda.</w:t>
      </w:r>
    </w:p>
    <w:p w:rsidR="00E652CD" w:rsidRDefault="0020768D">
      <w:pPr>
        <w:pStyle w:val="Lijstalinea"/>
        <w:numPr>
          <w:ilvl w:val="0"/>
          <w:numId w:val="1"/>
        </w:numPr>
        <w:tabs>
          <w:tab w:val="left" w:pos="567"/>
        </w:tabs>
        <w:ind w:left="567"/>
        <w:jc w:val="both"/>
        <w:rPr>
          <w:rFonts w:ascii="Calibri" w:hAnsi="Calibri" w:cs="Calibri"/>
          <w:color w:val="00000A"/>
          <w:sz w:val="22"/>
          <w:szCs w:val="22"/>
        </w:rPr>
      </w:pPr>
      <w:r>
        <w:rPr>
          <w:rFonts w:ascii="Calibri" w:hAnsi="Calibri" w:cs="Calibri"/>
          <w:color w:val="00000A"/>
          <w:sz w:val="22"/>
          <w:szCs w:val="22"/>
        </w:rPr>
        <w:t>The matter of coverage of Open Access Fees was discussed for methods papers and others. The Chair consulted the COST “Guidelines for the dissemination of COST Action results and outcomes” in which it is stated (p.4) that “More speci</w:t>
      </w:r>
      <w:r>
        <w:rPr>
          <w:rFonts w:ascii="Calibri" w:hAnsi="Calibri" w:cs="Calibri"/>
          <w:color w:val="00000A"/>
          <w:sz w:val="22"/>
          <w:szCs w:val="22"/>
        </w:rPr>
        <w:t xml:space="preserve">fically, COST facilitates Open Access publishing strategies by COST Actions and participates in their funding, according to COST rules and principles on dissemination activities.” The Chair will further inquire </w:t>
      </w:r>
      <w:r>
        <w:rPr>
          <w:rFonts w:ascii="Calibri" w:hAnsi="Calibri" w:cs="Calibri"/>
          <w:color w:val="00000A"/>
          <w:sz w:val="22"/>
          <w:szCs w:val="22"/>
        </w:rPr>
        <w:t xml:space="preserve">about </w:t>
      </w:r>
      <w:r>
        <w:rPr>
          <w:rFonts w:ascii="Calibri" w:hAnsi="Calibri" w:cs="Calibri"/>
          <w:color w:val="00000A"/>
          <w:sz w:val="22"/>
          <w:szCs w:val="22"/>
        </w:rPr>
        <w:t xml:space="preserve">the possibilities for COST support for </w:t>
      </w:r>
      <w:r>
        <w:rPr>
          <w:rFonts w:ascii="Calibri" w:hAnsi="Calibri" w:cs="Calibri"/>
          <w:color w:val="00000A"/>
          <w:sz w:val="22"/>
          <w:szCs w:val="22"/>
        </w:rPr>
        <w:t>Open Access publishing.</w:t>
      </w:r>
    </w:p>
    <w:p w:rsidR="00E652CD" w:rsidRDefault="00E652CD">
      <w:pPr>
        <w:pStyle w:val="Lijstalinea"/>
        <w:tabs>
          <w:tab w:val="left" w:pos="567"/>
        </w:tabs>
        <w:ind w:left="567"/>
        <w:jc w:val="both"/>
        <w:rPr>
          <w:rFonts w:ascii="Calibri" w:hAnsi="Calibri" w:cs="Calibri"/>
          <w:color w:val="00000A"/>
          <w:sz w:val="22"/>
          <w:szCs w:val="22"/>
        </w:rPr>
      </w:pPr>
    </w:p>
    <w:p w:rsidR="00E652CD" w:rsidRDefault="0020768D">
      <w:pPr>
        <w:tabs>
          <w:tab w:val="left" w:pos="720"/>
        </w:tabs>
        <w:spacing w:after="0" w:line="240" w:lineRule="auto"/>
        <w:jc w:val="both"/>
      </w:pPr>
      <w:r>
        <w:t>Progress Reports on Working Groups (relevant points for MC summarized here, more detail in WG minutes):</w:t>
      </w:r>
    </w:p>
    <w:p w:rsidR="00E652CD" w:rsidRDefault="0020768D">
      <w:pPr>
        <w:tabs>
          <w:tab w:val="left" w:pos="720"/>
        </w:tabs>
        <w:spacing w:after="0" w:line="240" w:lineRule="auto"/>
        <w:jc w:val="both"/>
        <w:rPr>
          <w:u w:val="single"/>
        </w:rPr>
      </w:pPr>
      <w:r>
        <w:rPr>
          <w:u w:val="single"/>
        </w:rPr>
        <w:t>WG1: Benefits of Pollination Services</w:t>
      </w:r>
    </w:p>
    <w:p w:rsidR="00E652CD" w:rsidRDefault="0020768D">
      <w:pPr>
        <w:tabs>
          <w:tab w:val="left" w:pos="720"/>
        </w:tabs>
        <w:spacing w:after="0" w:line="240" w:lineRule="auto"/>
        <w:jc w:val="both"/>
      </w:pPr>
      <w:r>
        <w:t xml:space="preserve">-Need for more active people: Jane Stout and Mario </w:t>
      </w:r>
      <w:proofErr w:type="spellStart"/>
      <w:r>
        <w:t>Balzan</w:t>
      </w:r>
      <w:proofErr w:type="spellEnd"/>
      <w:r>
        <w:t xml:space="preserve"> agreed to become co-leads of WG</w:t>
      </w:r>
      <w:r>
        <w:t>1.</w:t>
      </w:r>
    </w:p>
    <w:p w:rsidR="00E652CD" w:rsidRDefault="0020768D">
      <w:pPr>
        <w:tabs>
          <w:tab w:val="left" w:pos="720"/>
        </w:tabs>
        <w:spacing w:after="0" w:line="240" w:lineRule="auto"/>
        <w:jc w:val="both"/>
      </w:pPr>
      <w:r>
        <w:t>-The WBP 2015/16 includes a stakeholder workshop (WG1-2) on crop pollination as an agricultural input. This is discussed and the MC agrees that it is too early for this as the remit and stakeholders are not yet fully identified. It is decided that inste</w:t>
      </w:r>
      <w:r>
        <w:t>ad there will be a small workshop focussed on apple pollination (WG1+2 tasks) and a small workshop linked to the farmers and beekeepers questionnaire that assesses the main opportunities and bottlenecks for collaboration between farmers and beekeepers (WG1</w:t>
      </w:r>
      <w:r>
        <w:t>+3 tasks).</w:t>
      </w:r>
      <w:r w:rsidR="001D7693">
        <w:t xml:space="preserve"> Both will be organized in 2016.</w:t>
      </w:r>
    </w:p>
    <w:p w:rsidR="00E652CD" w:rsidRDefault="0020768D">
      <w:pPr>
        <w:tabs>
          <w:tab w:val="left" w:pos="720"/>
        </w:tabs>
        <w:spacing w:after="0" w:line="240" w:lineRule="auto"/>
        <w:jc w:val="both"/>
        <w:rPr>
          <w:u w:val="single"/>
        </w:rPr>
      </w:pPr>
      <w:r>
        <w:rPr>
          <w:u w:val="single"/>
        </w:rPr>
        <w:t>WG2: Delivery of Pollination Services</w:t>
      </w:r>
    </w:p>
    <w:p w:rsidR="00E652CD" w:rsidRDefault="0020768D">
      <w:pPr>
        <w:tabs>
          <w:tab w:val="left" w:pos="720"/>
        </w:tabs>
        <w:spacing w:after="0" w:line="240" w:lineRule="auto"/>
        <w:jc w:val="both"/>
      </w:pPr>
      <w:r>
        <w:t>- Working Group is on track with most tasks and has identified next steps.</w:t>
      </w:r>
    </w:p>
    <w:p w:rsidR="00E652CD" w:rsidRDefault="0020768D">
      <w:pPr>
        <w:tabs>
          <w:tab w:val="left" w:pos="720"/>
        </w:tabs>
        <w:spacing w:after="0" w:line="240" w:lineRule="auto"/>
        <w:jc w:val="both"/>
      </w:pPr>
      <w:r>
        <w:t xml:space="preserve">- First focus of pollination benefits across varieties and regions will focus on apples. Lots of data available and a very relevant </w:t>
      </w:r>
      <w:r>
        <w:t>crop in many EU countries. Dedicated workshop now included for 2015/16.</w:t>
      </w:r>
    </w:p>
    <w:p w:rsidR="00294325" w:rsidRDefault="00294325">
      <w:pPr>
        <w:tabs>
          <w:tab w:val="left" w:pos="720"/>
        </w:tabs>
        <w:spacing w:after="0" w:line="240" w:lineRule="auto"/>
        <w:jc w:val="both"/>
      </w:pPr>
      <w:r>
        <w:lastRenderedPageBreak/>
        <w:t>- Mike Garratt will be offered a co-lead role following his active participation already [follow-up decision by Core Group after the MC meeting].</w:t>
      </w:r>
    </w:p>
    <w:p w:rsidR="00E652CD" w:rsidRDefault="0020768D">
      <w:pPr>
        <w:tabs>
          <w:tab w:val="left" w:pos="720"/>
        </w:tabs>
        <w:spacing w:after="0" w:line="240" w:lineRule="auto"/>
        <w:jc w:val="both"/>
        <w:rPr>
          <w:u w:val="single"/>
        </w:rPr>
      </w:pPr>
      <w:r>
        <w:rPr>
          <w:u w:val="single"/>
        </w:rPr>
        <w:t xml:space="preserve">WG3: Mitigation of pollination loss </w:t>
      </w:r>
    </w:p>
    <w:p w:rsidR="00E652CD" w:rsidRDefault="0020768D">
      <w:pPr>
        <w:tabs>
          <w:tab w:val="left" w:pos="720"/>
        </w:tabs>
        <w:spacing w:after="0" w:line="240" w:lineRule="auto"/>
        <w:jc w:val="both"/>
      </w:pPr>
      <w:r>
        <w:t>- Working Group is on track with most tasks and has identified next steps.</w:t>
      </w:r>
    </w:p>
    <w:p w:rsidR="00E652CD" w:rsidRDefault="0020768D">
      <w:pPr>
        <w:tabs>
          <w:tab w:val="left" w:pos="720"/>
        </w:tabs>
        <w:spacing w:after="0" w:line="240" w:lineRule="auto"/>
        <w:jc w:val="both"/>
      </w:pPr>
      <w:r>
        <w:t>- Survey for beekeepers and farmers (combined WG1+3 activity) will be op</w:t>
      </w:r>
      <w:r>
        <w:t>en in several EU countries. Members are invited to translate the questionnaires and distribute them. Deadline for translation is 1 December 2015, questionnaire is online and open till the end of February 2016.</w:t>
      </w:r>
    </w:p>
    <w:p w:rsidR="00E652CD" w:rsidRDefault="0020768D">
      <w:pPr>
        <w:tabs>
          <w:tab w:val="left" w:pos="720"/>
        </w:tabs>
        <w:spacing w:after="0" w:line="240" w:lineRule="auto"/>
        <w:jc w:val="both"/>
        <w:rPr>
          <w:u w:val="single"/>
        </w:rPr>
      </w:pPr>
      <w:r>
        <w:rPr>
          <w:u w:val="single"/>
        </w:rPr>
        <w:t>WG4: Drivers of Pollinator</w:t>
      </w:r>
      <w:r>
        <w:rPr>
          <w:u w:val="single"/>
        </w:rPr>
        <w:t>s</w:t>
      </w:r>
      <w:r>
        <w:rPr>
          <w:u w:val="single"/>
        </w:rPr>
        <w:t xml:space="preserve"> and pollination loss</w:t>
      </w:r>
    </w:p>
    <w:p w:rsidR="00E652CD" w:rsidRDefault="0020768D">
      <w:pPr>
        <w:tabs>
          <w:tab w:val="left" w:pos="720"/>
        </w:tabs>
        <w:spacing w:after="0" w:line="240" w:lineRule="auto"/>
        <w:jc w:val="both"/>
      </w:pPr>
      <w:r>
        <w:t>- Mark Brown explains why the Horizon Scan of pollinator threats had to be a semi-closed session. It strictly follows the Delphi approach to achieve a balanced and representative participation. There was an open call for participation</w:t>
      </w:r>
      <w:r>
        <w:t xml:space="preserve"> to all Super-B members last May.</w:t>
      </w:r>
    </w:p>
    <w:p w:rsidR="00E652CD" w:rsidRDefault="0020768D">
      <w:pPr>
        <w:tabs>
          <w:tab w:val="left" w:pos="720"/>
        </w:tabs>
        <w:spacing w:after="0" w:line="240" w:lineRule="auto"/>
        <w:jc w:val="both"/>
      </w:pPr>
      <w:r>
        <w:t>- Partners are invited to participate in the wild bee pathogen screening study. Detailed protocols will follow.</w:t>
      </w:r>
    </w:p>
    <w:p w:rsidR="00E652CD" w:rsidRDefault="0020768D">
      <w:pPr>
        <w:tabs>
          <w:tab w:val="left" w:pos="720"/>
        </w:tabs>
        <w:spacing w:after="0" w:line="240" w:lineRule="auto"/>
        <w:jc w:val="both"/>
        <w:rPr>
          <w:u w:val="single"/>
        </w:rPr>
      </w:pPr>
      <w:r>
        <w:rPr>
          <w:u w:val="single"/>
        </w:rPr>
        <w:t>WG Dissemination (summary of dissemination session, not discussed in MC)</w:t>
      </w:r>
    </w:p>
    <w:p w:rsidR="00E652CD" w:rsidRDefault="0020768D">
      <w:pPr>
        <w:tabs>
          <w:tab w:val="left" w:pos="720"/>
        </w:tabs>
        <w:spacing w:after="0" w:line="240" w:lineRule="auto"/>
        <w:jc w:val="both"/>
      </w:pPr>
      <w:r>
        <w:t xml:space="preserve">-Lively discussion and breakout </w:t>
      </w:r>
      <w:r>
        <w:t>sessions helped to identify the main outreach activities aimed at a wide range of stakeholders. This will be followed</w:t>
      </w:r>
      <w:r>
        <w:t xml:space="preserve"> </w:t>
      </w:r>
      <w:r>
        <w:t>up by Lynn Dicks and the dissemination team.</w:t>
      </w:r>
    </w:p>
    <w:p w:rsidR="00E652CD" w:rsidRDefault="0020768D">
      <w:pPr>
        <w:tabs>
          <w:tab w:val="left" w:pos="720"/>
        </w:tabs>
        <w:spacing w:after="0" w:line="240" w:lineRule="auto"/>
        <w:jc w:val="both"/>
      </w:pPr>
      <w:r>
        <w:t>-The website can become more attractive and then more actively used. Several ideas were disc</w:t>
      </w:r>
      <w:r>
        <w:t>ussed with the website managers.</w:t>
      </w:r>
    </w:p>
    <w:p w:rsidR="00294325" w:rsidRDefault="00294325">
      <w:pPr>
        <w:tabs>
          <w:tab w:val="left" w:pos="720"/>
        </w:tabs>
        <w:spacing w:after="0" w:line="240" w:lineRule="auto"/>
        <w:jc w:val="both"/>
      </w:pPr>
      <w:r>
        <w:t>- The following decisions were taken in the Dissemination WG:</w:t>
      </w:r>
    </w:p>
    <w:p w:rsidR="00294325" w:rsidRDefault="00294325" w:rsidP="001D7693">
      <w:pPr>
        <w:spacing w:after="0" w:line="240" w:lineRule="auto"/>
        <w:ind w:left="426" w:hanging="142"/>
        <w:jc w:val="both"/>
      </w:pPr>
      <w:r>
        <w:t xml:space="preserve">1) </w:t>
      </w:r>
      <w:proofErr w:type="spellStart"/>
      <w:r>
        <w:t>Pensoft</w:t>
      </w:r>
      <w:proofErr w:type="spellEnd"/>
      <w:r>
        <w:t xml:space="preserve"> will make a page on the website under 'Who we are', with a map of Europe (plus New Zealand and Argentina) and links to one or two key contacts in ALL participating countries.</w:t>
      </w:r>
    </w:p>
    <w:p w:rsidR="00294325" w:rsidRDefault="00294325" w:rsidP="001D7693">
      <w:pPr>
        <w:spacing w:after="0" w:line="240" w:lineRule="auto"/>
        <w:ind w:left="426" w:hanging="142"/>
        <w:jc w:val="both"/>
      </w:pPr>
      <w:r>
        <w:t>2) All members will submit URL links to on-line publications, websites and other resource</w:t>
      </w:r>
      <w:r>
        <w:t>s</w:t>
      </w:r>
      <w:r>
        <w:t xml:space="preserve"> to pressoffice@pensoft.net, and </w:t>
      </w:r>
      <w:proofErr w:type="spellStart"/>
      <w:r>
        <w:t>Pensoft</w:t>
      </w:r>
      <w:proofErr w:type="spellEnd"/>
      <w:r>
        <w:t xml:space="preserve"> will add these to the website. </w:t>
      </w:r>
    </w:p>
    <w:p w:rsidR="00294325" w:rsidRDefault="00294325" w:rsidP="001D7693">
      <w:pPr>
        <w:spacing w:after="0" w:line="240" w:lineRule="auto"/>
        <w:ind w:left="426" w:hanging="142"/>
        <w:jc w:val="both"/>
      </w:pPr>
      <w:r>
        <w:t>3) All members will consider adding Super</w:t>
      </w:r>
      <w:r>
        <w:t>-</w:t>
      </w:r>
      <w:r>
        <w:t>B web link to their email signature, to enhance traffic.</w:t>
      </w:r>
    </w:p>
    <w:p w:rsidR="00294325" w:rsidRDefault="001D7693" w:rsidP="001D7693">
      <w:pPr>
        <w:spacing w:after="0" w:line="240" w:lineRule="auto"/>
        <w:ind w:left="426" w:hanging="142"/>
        <w:jc w:val="both"/>
      </w:pPr>
      <w:r>
        <w:t>4</w:t>
      </w:r>
      <w:r w:rsidR="00294325">
        <w:t xml:space="preserve">) </w:t>
      </w:r>
      <w:proofErr w:type="spellStart"/>
      <w:r w:rsidR="00294325">
        <w:t>Pensoft</w:t>
      </w:r>
      <w:proofErr w:type="spellEnd"/>
      <w:r w:rsidR="00294325">
        <w:t xml:space="preserve"> will investigate search engine optimisation, to improve </w:t>
      </w:r>
      <w:r w:rsidR="00294325">
        <w:t xml:space="preserve">website </w:t>
      </w:r>
      <w:proofErr w:type="spellStart"/>
      <w:r w:rsidR="00294325">
        <w:t>searchability</w:t>
      </w:r>
      <w:proofErr w:type="spellEnd"/>
      <w:r w:rsidR="00294325">
        <w:t>.</w:t>
      </w:r>
    </w:p>
    <w:p w:rsidR="00294325" w:rsidRDefault="001D7693" w:rsidP="001D7693">
      <w:pPr>
        <w:spacing w:after="0" w:line="240" w:lineRule="auto"/>
        <w:ind w:left="426" w:hanging="142"/>
        <w:jc w:val="both"/>
      </w:pPr>
      <w:r>
        <w:t>5</w:t>
      </w:r>
      <w:r w:rsidR="00294325">
        <w:t>) From the policy workshop outputs, we decided to develop a policy br</w:t>
      </w:r>
      <w:r w:rsidR="00294325">
        <w:t>ie</w:t>
      </w:r>
      <w:r w:rsidR="00294325">
        <w:t>fing (and a scientific paper) on the impacts of CAP compulsory greening measures on pollinators and pollination. This will involve a data-gathering phase to document Ecological Focus Areas in each country, and a workshop to assess impacts on pollinators (</w:t>
      </w:r>
      <w:r w:rsidR="00294325">
        <w:t>probably in early 2015 – to be determined</w:t>
      </w:r>
      <w:r w:rsidR="00294325">
        <w:t>)</w:t>
      </w:r>
      <w:r w:rsidR="00294325">
        <w:t>.</w:t>
      </w:r>
    </w:p>
    <w:p w:rsidR="00294325" w:rsidRDefault="001D7693" w:rsidP="001D7693">
      <w:pPr>
        <w:spacing w:after="0" w:line="240" w:lineRule="auto"/>
        <w:ind w:left="426" w:hanging="142"/>
        <w:jc w:val="both"/>
      </w:pPr>
      <w:r>
        <w:t>6</w:t>
      </w:r>
      <w:r w:rsidR="00294325">
        <w:t xml:space="preserve">) As the first focus for evidence-based guidance, we decided on specific crop types. All members are to submit examples of existing guidance for publication on the website, and to Brad </w:t>
      </w:r>
      <w:proofErr w:type="spellStart"/>
      <w:r w:rsidR="00294325">
        <w:t>Howlett</w:t>
      </w:r>
      <w:proofErr w:type="spellEnd"/>
      <w:r w:rsidR="00294325">
        <w:t xml:space="preserve"> (New Zealand) for collation. We will then decide on the best crop or crops to develop combined international guidance.</w:t>
      </w:r>
    </w:p>
    <w:p w:rsidR="00E652CD" w:rsidRDefault="00E652CD">
      <w:pPr>
        <w:tabs>
          <w:tab w:val="left" w:pos="720"/>
        </w:tabs>
        <w:spacing w:after="0" w:line="240" w:lineRule="auto"/>
        <w:jc w:val="both"/>
      </w:pPr>
    </w:p>
    <w:p w:rsidR="00E652CD" w:rsidRDefault="0020768D">
      <w:pPr>
        <w:tabs>
          <w:tab w:val="left" w:pos="720"/>
        </w:tabs>
        <w:spacing w:after="0" w:line="240" w:lineRule="auto"/>
        <w:jc w:val="both"/>
      </w:pPr>
      <w:r>
        <w:t xml:space="preserve">The utility of training schools and training workshops was discussed. Rob Paxton </w:t>
      </w:r>
      <w:r>
        <w:t>summarized</w:t>
      </w:r>
      <w:r>
        <w:t xml:space="preserve"> how he organized and experienced the Training School in Halle, Germany on pathogen screening (which formed the basis of</w:t>
      </w:r>
      <w:r>
        <w:t xml:space="preserve"> a multi-country screening study now in progress). Orlando Yanez explained that it provided good experience for students and trainers. Guy </w:t>
      </w:r>
      <w:proofErr w:type="spellStart"/>
      <w:r>
        <w:t>Smagghe</w:t>
      </w:r>
      <w:proofErr w:type="spellEnd"/>
      <w:r>
        <w:t xml:space="preserve"> provided an overview of the bee health and RNAi workshop in Ghent Belgium. These methods are becoming more im</w:t>
      </w:r>
      <w:r>
        <w:t>portant as many of the disease-causing agents are RNA viruses. The EFSA also recognizes the importance of studying this.</w:t>
      </w:r>
    </w:p>
    <w:p w:rsidR="00E652CD" w:rsidRDefault="00E652CD">
      <w:pPr>
        <w:tabs>
          <w:tab w:val="left" w:pos="720"/>
        </w:tabs>
        <w:spacing w:after="0" w:line="240" w:lineRule="auto"/>
        <w:jc w:val="both"/>
      </w:pPr>
    </w:p>
    <w:p w:rsidR="00E652CD" w:rsidRDefault="0020768D">
      <w:pPr>
        <w:tabs>
          <w:tab w:val="left" w:pos="540"/>
        </w:tabs>
        <w:spacing w:after="0" w:line="240" w:lineRule="auto"/>
        <w:jc w:val="both"/>
        <w:rPr>
          <w:b/>
        </w:rPr>
      </w:pPr>
      <w:r>
        <w:rPr>
          <w:b/>
        </w:rPr>
        <w:t>11</w:t>
      </w:r>
      <w:r>
        <w:rPr>
          <w:b/>
        </w:rPr>
        <w:tab/>
        <w:t>Scientific Strategy / Planning</w:t>
      </w:r>
    </w:p>
    <w:p w:rsidR="00E652CD" w:rsidRDefault="0020768D">
      <w:pPr>
        <w:spacing w:after="0" w:line="240" w:lineRule="auto"/>
        <w:jc w:val="both"/>
      </w:pPr>
      <w:r>
        <w:t>Chair provides overview of strategy and management of Action.</w:t>
      </w:r>
    </w:p>
    <w:p w:rsidR="00E652CD" w:rsidRDefault="00E652CD">
      <w:pPr>
        <w:spacing w:after="0" w:line="240" w:lineRule="auto"/>
        <w:jc w:val="both"/>
      </w:pPr>
    </w:p>
    <w:p w:rsidR="00E652CD" w:rsidRDefault="0020768D">
      <w:pPr>
        <w:tabs>
          <w:tab w:val="left" w:pos="540"/>
        </w:tabs>
        <w:spacing w:after="0" w:line="240" w:lineRule="auto"/>
        <w:jc w:val="both"/>
        <w:rPr>
          <w:b/>
        </w:rPr>
      </w:pPr>
      <w:r>
        <w:rPr>
          <w:b/>
        </w:rPr>
        <w:t>12</w:t>
      </w:r>
      <w:r>
        <w:rPr>
          <w:b/>
        </w:rPr>
        <w:tab/>
        <w:t>Requests for new members</w:t>
      </w:r>
    </w:p>
    <w:p w:rsidR="00E652CD" w:rsidRDefault="0020768D">
      <w:pPr>
        <w:spacing w:after="0" w:line="240" w:lineRule="auto"/>
        <w:jc w:val="both"/>
      </w:pPr>
      <w:r>
        <w:t xml:space="preserve">MC voted </w:t>
      </w:r>
      <w:r>
        <w:t>for and approved Slovakia.</w:t>
      </w:r>
    </w:p>
    <w:p w:rsidR="00E652CD" w:rsidRDefault="00E652CD">
      <w:pPr>
        <w:spacing w:after="0" w:line="240" w:lineRule="auto"/>
        <w:jc w:val="both"/>
      </w:pPr>
    </w:p>
    <w:p w:rsidR="00E652CD" w:rsidRDefault="0020768D">
      <w:pPr>
        <w:spacing w:after="0" w:line="240" w:lineRule="auto"/>
        <w:rPr>
          <w:b/>
          <w:bCs/>
        </w:rPr>
      </w:pPr>
      <w:r>
        <w:rPr>
          <w:b/>
          <w:bCs/>
        </w:rPr>
        <w:t>13</w:t>
      </w:r>
      <w:r>
        <w:rPr>
          <w:b/>
          <w:bCs/>
        </w:rPr>
        <w:tab/>
        <w:t>Non-COST applications to the Actions</w:t>
      </w:r>
    </w:p>
    <w:p w:rsidR="00E652CD" w:rsidRDefault="0020768D">
      <w:pPr>
        <w:spacing w:after="0" w:line="240" w:lineRule="auto"/>
      </w:pPr>
      <w:r>
        <w:t>No applications</w:t>
      </w:r>
    </w:p>
    <w:p w:rsidR="00E652CD" w:rsidRDefault="00E652CD">
      <w:pPr>
        <w:spacing w:after="0" w:line="240" w:lineRule="auto"/>
      </w:pPr>
    </w:p>
    <w:p w:rsidR="00E652CD" w:rsidRDefault="0020768D">
      <w:pPr>
        <w:spacing w:after="0" w:line="240" w:lineRule="auto"/>
        <w:rPr>
          <w:b/>
          <w:bCs/>
        </w:rPr>
      </w:pPr>
      <w:r>
        <w:rPr>
          <w:b/>
          <w:bCs/>
        </w:rPr>
        <w:t>14</w:t>
      </w:r>
      <w:r>
        <w:rPr>
          <w:b/>
          <w:bCs/>
        </w:rPr>
        <w:tab/>
        <w:t>AOB: Any Other Business</w:t>
      </w:r>
    </w:p>
    <w:p w:rsidR="00E652CD" w:rsidRDefault="0020768D">
      <w:pPr>
        <w:spacing w:after="0" w:line="240" w:lineRule="auto"/>
        <w:rPr>
          <w:bCs/>
        </w:rPr>
      </w:pPr>
      <w:r>
        <w:rPr>
          <w:bCs/>
        </w:rPr>
        <w:t xml:space="preserve">The main point raised here is the structure of the MC and annual meeting. Discussion last year led to the current structure (sequential WGs and </w:t>
      </w:r>
      <w:r>
        <w:rPr>
          <w:bCs/>
        </w:rPr>
        <w:t xml:space="preserve">MC meeting at the end) in response to first year’s meeting structure (parallel WGs and MC at the start). Pros and cons were </w:t>
      </w:r>
      <w:r>
        <w:rPr>
          <w:bCs/>
        </w:rPr>
        <w:t xml:space="preserve">presented </w:t>
      </w:r>
      <w:r>
        <w:rPr>
          <w:bCs/>
        </w:rPr>
        <w:t>by several members. In addition the point was raised that in the current setting there is limited space for memb</w:t>
      </w:r>
      <w:r>
        <w:rPr>
          <w:bCs/>
        </w:rPr>
        <w:t>ers to give updates on their own work. One possibility would be to have a short series of flash talks on each of the main themes of Super-B. Finally, the chair mentioned that for many tasks in the WGs a meeting of 1 day or less may not be optimal to make g</w:t>
      </w:r>
      <w:r>
        <w:rPr>
          <w:bCs/>
        </w:rPr>
        <w:t>ood progress. It is decided that a hybrid option seems good for next year (see below).</w:t>
      </w:r>
    </w:p>
    <w:p w:rsidR="00E652CD" w:rsidRDefault="00E652CD">
      <w:pPr>
        <w:spacing w:after="0" w:line="240" w:lineRule="auto"/>
      </w:pPr>
    </w:p>
    <w:p w:rsidR="00E652CD" w:rsidRDefault="0020768D">
      <w:pPr>
        <w:tabs>
          <w:tab w:val="left" w:pos="540"/>
        </w:tabs>
        <w:spacing w:after="0" w:line="240" w:lineRule="auto"/>
        <w:jc w:val="both"/>
        <w:rPr>
          <w:b/>
        </w:rPr>
      </w:pPr>
      <w:r>
        <w:rPr>
          <w:b/>
        </w:rPr>
        <w:t>15</w:t>
      </w:r>
      <w:r>
        <w:rPr>
          <w:b/>
        </w:rPr>
        <w:tab/>
        <w:t>Place and date of future meetings</w:t>
      </w:r>
    </w:p>
    <w:p w:rsidR="00E652CD" w:rsidRDefault="0020768D">
      <w:pPr>
        <w:spacing w:after="0" w:line="240" w:lineRule="auto"/>
      </w:pPr>
      <w:r>
        <w:t>MC v</w:t>
      </w:r>
      <w:r w:rsidR="00294325">
        <w:t xml:space="preserve">oted for next MC and APC in </w:t>
      </w:r>
      <w:proofErr w:type="spellStart"/>
      <w:r w:rsidR="00294325">
        <w:t>Clu</w:t>
      </w:r>
      <w:r>
        <w:t>j</w:t>
      </w:r>
      <w:proofErr w:type="spellEnd"/>
      <w:r>
        <w:t xml:space="preserve"> Romania September 2016 before the EURBEE meeting that will be organized in the same location.</w:t>
      </w:r>
      <w:r>
        <w:t xml:space="preserve"> The program will be decided later, but will consist of the MC meeting and update on dissemination. In addition, there will be a 1-1.5day Super-B science update meeting in which many Super-B partners will be able to display their work. We may also think of</w:t>
      </w:r>
      <w:r>
        <w:t xml:space="preserve"> a poster session and/or some longer plenary talks to introduce the main topics. This days should be open also to </w:t>
      </w:r>
      <w:proofErr w:type="spellStart"/>
      <w:r>
        <w:t>Eurbee</w:t>
      </w:r>
      <w:proofErr w:type="spellEnd"/>
      <w:r>
        <w:t xml:space="preserve"> participants so that Super-B results can be disseminated.</w:t>
      </w:r>
    </w:p>
    <w:p w:rsidR="00E652CD" w:rsidRDefault="0020768D">
      <w:pPr>
        <w:spacing w:after="0" w:line="240" w:lineRule="auto"/>
      </w:pPr>
      <w:r>
        <w:t>Most of the budget will then be used for dedicate WG meetings.</w:t>
      </w:r>
    </w:p>
    <w:p w:rsidR="00E652CD" w:rsidRDefault="00E652CD">
      <w:pPr>
        <w:spacing w:after="0" w:line="240" w:lineRule="auto"/>
      </w:pPr>
    </w:p>
    <w:p w:rsidR="00E652CD" w:rsidRDefault="0020768D">
      <w:pPr>
        <w:tabs>
          <w:tab w:val="left" w:pos="540"/>
        </w:tabs>
        <w:spacing w:after="0" w:line="240" w:lineRule="auto"/>
        <w:jc w:val="both"/>
        <w:rPr>
          <w:b/>
        </w:rPr>
      </w:pPr>
      <w:r>
        <w:rPr>
          <w:b/>
        </w:rPr>
        <w:t>16</w:t>
      </w:r>
      <w:r>
        <w:rPr>
          <w:b/>
        </w:rPr>
        <w:tab/>
        <w:t>Summary of</w:t>
      </w:r>
      <w:r>
        <w:rPr>
          <w:b/>
        </w:rPr>
        <w:t xml:space="preserve"> decisions made by the MC</w:t>
      </w:r>
    </w:p>
    <w:p w:rsidR="00E652CD" w:rsidRDefault="0020768D">
      <w:pPr>
        <w:spacing w:after="0" w:line="240" w:lineRule="auto"/>
        <w:jc w:val="both"/>
      </w:pPr>
      <w:r>
        <w:rPr>
          <w:u w:val="single"/>
        </w:rPr>
        <w:t>DECISION 15-1</w:t>
      </w:r>
      <w:r>
        <w:t>: the Chair will ask COST office whether and how STSMs overrunning the budget year can be accommodated.</w:t>
      </w:r>
    </w:p>
    <w:p w:rsidR="001D7693" w:rsidRDefault="001D7693">
      <w:pPr>
        <w:spacing w:after="0" w:line="240" w:lineRule="auto"/>
        <w:jc w:val="both"/>
        <w:rPr>
          <w:u w:val="single"/>
        </w:rPr>
      </w:pPr>
    </w:p>
    <w:p w:rsidR="00E652CD" w:rsidRDefault="0020768D">
      <w:pPr>
        <w:spacing w:after="0" w:line="240" w:lineRule="auto"/>
        <w:jc w:val="both"/>
      </w:pPr>
      <w:r>
        <w:rPr>
          <w:u w:val="single"/>
        </w:rPr>
        <w:t>DECISION 15-2</w:t>
      </w:r>
      <w:r>
        <w:t>: We establish 1</w:t>
      </w:r>
      <w:r>
        <w:rPr>
          <w:vertAlign w:val="superscript"/>
        </w:rPr>
        <w:t>st</w:t>
      </w:r>
      <w:r>
        <w:t xml:space="preserve"> December deadline for Year 2 STSM applications. The Core group (Chair, Vice-Chair, WG leads and STSM coordinator) will then decide which STSMs will be approved, taking into account the fit with Action objectives, gender balance, ESR participation and incl</w:t>
      </w:r>
      <w:r>
        <w:t>usiveness country participation.</w:t>
      </w:r>
    </w:p>
    <w:p w:rsidR="001D7693" w:rsidRDefault="001D7693">
      <w:pPr>
        <w:spacing w:after="0" w:line="240" w:lineRule="auto"/>
        <w:jc w:val="both"/>
        <w:rPr>
          <w:u w:val="single"/>
        </w:rPr>
      </w:pPr>
    </w:p>
    <w:p w:rsidR="00E652CD" w:rsidRDefault="0020768D">
      <w:pPr>
        <w:spacing w:after="0" w:line="240" w:lineRule="auto"/>
        <w:jc w:val="both"/>
      </w:pPr>
      <w:r>
        <w:rPr>
          <w:u w:val="single"/>
        </w:rPr>
        <w:t>DECISION 15-3</w:t>
      </w:r>
      <w:r>
        <w:t xml:space="preserve">: It is decided that the activities in the coming months (till the end of </w:t>
      </w:r>
      <w:proofErr w:type="spellStart"/>
      <w:r>
        <w:t>yr</w:t>
      </w:r>
      <w:proofErr w:type="spellEnd"/>
      <w:r>
        <w:t xml:space="preserve"> 2) are:</w:t>
      </w:r>
    </w:p>
    <w:p w:rsidR="00E652CD" w:rsidRDefault="0020768D">
      <w:pPr>
        <w:spacing w:after="0" w:line="240" w:lineRule="auto"/>
        <w:ind w:left="142" w:hanging="142"/>
        <w:jc w:val="both"/>
      </w:pPr>
      <w:r>
        <w:t>- Training school: crop pollination by managed bees (program to be determined by small group of members)</w:t>
      </w:r>
    </w:p>
    <w:p w:rsidR="00E652CD" w:rsidRDefault="0020768D">
      <w:pPr>
        <w:spacing w:after="0" w:line="240" w:lineRule="auto"/>
        <w:ind w:left="142" w:hanging="142"/>
        <w:jc w:val="both"/>
      </w:pPr>
      <w:r>
        <w:t>- Workshop: Honeybee</w:t>
      </w:r>
      <w:r>
        <w:t xml:space="preserve"> surveillance: learning from each other (small workshop for participants that lead or are active in national surveillance projects). Graz, Austria.</w:t>
      </w:r>
    </w:p>
    <w:p w:rsidR="00E652CD" w:rsidRDefault="0020768D">
      <w:pPr>
        <w:spacing w:after="0" w:line="240" w:lineRule="auto"/>
        <w:ind w:left="142" w:hanging="142"/>
        <w:jc w:val="both"/>
      </w:pPr>
      <w:r>
        <w:t xml:space="preserve">- Workshop on apple pollination (to be organized by Alex Klein, Mike Garratt and others; participants bring </w:t>
      </w:r>
      <w:r>
        <w:t>data on apple pollination)</w:t>
      </w:r>
    </w:p>
    <w:p w:rsidR="00E652CD" w:rsidRDefault="0020768D">
      <w:pPr>
        <w:spacing w:after="0" w:line="240" w:lineRule="auto"/>
        <w:ind w:left="142" w:hanging="142"/>
        <w:jc w:val="both"/>
      </w:pPr>
      <w:r>
        <w:t>- Workshop to discuss results of Beekeeper and Farmer questionnaire (participants have been active in questionnaire) Reading UK</w:t>
      </w:r>
    </w:p>
    <w:p w:rsidR="00E652CD" w:rsidRDefault="0020768D">
      <w:pPr>
        <w:spacing w:after="0" w:line="240" w:lineRule="auto"/>
        <w:ind w:left="142" w:hanging="142"/>
        <w:jc w:val="both"/>
      </w:pPr>
      <w:r>
        <w:t xml:space="preserve">- Core Group meeting to discuss </w:t>
      </w:r>
      <w:proofErr w:type="spellStart"/>
      <w:r>
        <w:t>yr</w:t>
      </w:r>
      <w:proofErr w:type="spellEnd"/>
      <w:r>
        <w:t xml:space="preserve"> 3 budget and plans</w:t>
      </w:r>
      <w:r w:rsidR="00294325">
        <w:t xml:space="preserve"> (may be decided to be by videoconference)</w:t>
      </w:r>
    </w:p>
    <w:p w:rsidR="00294325" w:rsidRDefault="00294325">
      <w:pPr>
        <w:spacing w:after="0" w:line="240" w:lineRule="auto"/>
        <w:ind w:left="142" w:hanging="142"/>
        <w:jc w:val="both"/>
      </w:pPr>
      <w:r>
        <w:t xml:space="preserve">- Possibly a workshop on the </w:t>
      </w:r>
      <w:r>
        <w:t>impacts of CAP compulsory greening measures on pollinators and pollination</w:t>
      </w:r>
      <w:r>
        <w:t xml:space="preserve"> [may be postponed till year 3] – to be organized by Lynn Dicks, Naturalis and others.</w:t>
      </w:r>
    </w:p>
    <w:p w:rsidR="001D7693" w:rsidRDefault="001D7693">
      <w:pPr>
        <w:spacing w:after="0" w:line="240" w:lineRule="auto"/>
        <w:jc w:val="both"/>
        <w:rPr>
          <w:u w:val="single"/>
        </w:rPr>
      </w:pPr>
    </w:p>
    <w:p w:rsidR="00E652CD" w:rsidRDefault="00294325">
      <w:pPr>
        <w:spacing w:after="0" w:line="240" w:lineRule="auto"/>
        <w:jc w:val="both"/>
      </w:pPr>
      <w:r>
        <w:rPr>
          <w:u w:val="single"/>
        </w:rPr>
        <w:lastRenderedPageBreak/>
        <w:t>DECISION 15-</w:t>
      </w:r>
      <w:r>
        <w:rPr>
          <w:u w:val="single"/>
        </w:rPr>
        <w:t>4</w:t>
      </w:r>
      <w:r>
        <w:t>:</w:t>
      </w:r>
      <w:r>
        <w:t xml:space="preserve"> </w:t>
      </w:r>
      <w:r w:rsidR="001D7693">
        <w:t xml:space="preserve">Additional co-leads are assigned: Jane Stout and Mario </w:t>
      </w:r>
      <w:proofErr w:type="spellStart"/>
      <w:r w:rsidR="001D7693">
        <w:t>Balzan</w:t>
      </w:r>
      <w:proofErr w:type="spellEnd"/>
      <w:r w:rsidR="001D7693">
        <w:t xml:space="preserve"> for WG1 and Mike Garratt for WG 2.</w:t>
      </w:r>
    </w:p>
    <w:p w:rsidR="001D7693" w:rsidRDefault="001D7693">
      <w:pPr>
        <w:spacing w:after="0" w:line="240" w:lineRule="auto"/>
        <w:jc w:val="both"/>
      </w:pPr>
    </w:p>
    <w:p w:rsidR="00E652CD" w:rsidRDefault="0020768D">
      <w:pPr>
        <w:tabs>
          <w:tab w:val="left" w:pos="540"/>
        </w:tabs>
        <w:spacing w:after="0" w:line="240" w:lineRule="auto"/>
        <w:jc w:val="both"/>
        <w:rPr>
          <w:b/>
        </w:rPr>
      </w:pPr>
      <w:r>
        <w:rPr>
          <w:b/>
        </w:rPr>
        <w:t>17</w:t>
      </w:r>
      <w:r>
        <w:rPr>
          <w:b/>
        </w:rPr>
        <w:tab/>
        <w:t>Closing of the meeting</w:t>
      </w:r>
    </w:p>
    <w:p w:rsidR="00E652CD" w:rsidRDefault="0020768D">
      <w:pPr>
        <w:spacing w:after="0" w:line="240" w:lineRule="auto"/>
        <w:jc w:val="both"/>
      </w:pPr>
      <w:r>
        <w:t xml:space="preserve">The </w:t>
      </w:r>
      <w:r>
        <w:t xml:space="preserve">Action chair </w:t>
      </w:r>
      <w:r>
        <w:t>clo</w:t>
      </w:r>
      <w:r>
        <w:t xml:space="preserve">ses the meeting 06/11/2015 at 15:15. </w:t>
      </w:r>
    </w:p>
    <w:p w:rsidR="00010BC8" w:rsidRDefault="0020768D" w:rsidP="001D7693">
      <w:pPr>
        <w:spacing w:after="0" w:line="240" w:lineRule="auto"/>
        <w:jc w:val="both"/>
      </w:pPr>
      <w:r>
        <w:t xml:space="preserve">In closing the meeting Action Chair </w:t>
      </w:r>
      <w:proofErr w:type="spellStart"/>
      <w:r>
        <w:t>Koos</w:t>
      </w:r>
      <w:proofErr w:type="spellEnd"/>
      <w:r>
        <w:t xml:space="preserve"> Biesmeijer expressed his gratitude to the members of the Management Committee for their active participation in the meeting and finally to the local organizer </w:t>
      </w:r>
      <w:proofErr w:type="spellStart"/>
      <w:r>
        <w:t>Dr.</w:t>
      </w:r>
      <w:proofErr w:type="spellEnd"/>
      <w:r>
        <w:t xml:space="preserve"> Mario </w:t>
      </w:r>
      <w:proofErr w:type="spellStart"/>
      <w:r>
        <w:t>Balzan</w:t>
      </w:r>
      <w:proofErr w:type="spellEnd"/>
      <w:r>
        <w:t xml:space="preserve"> a</w:t>
      </w:r>
      <w:r>
        <w:t>nd MCAST for having been an excellent host and having provided us all with an excellent excuse to enjoy the friendly, culturally rich island of Malta.</w:t>
      </w:r>
    </w:p>
    <w:sectPr w:rsidR="00010BC8">
      <w:footerReference w:type="default" r:id="rId11"/>
      <w:pgSz w:w="11906" w:h="16838"/>
      <w:pgMar w:top="1985" w:right="1134" w:bottom="1191" w:left="1418" w:header="0" w:footer="1134" w:gutter="0"/>
      <w:pgNumType w:start="1"/>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8D" w:rsidRDefault="0020768D">
      <w:pPr>
        <w:spacing w:after="0" w:line="240" w:lineRule="auto"/>
      </w:pPr>
      <w:r>
        <w:separator/>
      </w:r>
    </w:p>
  </w:endnote>
  <w:endnote w:type="continuationSeparator" w:id="0">
    <w:p w:rsidR="0020768D" w:rsidRDefault="0020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CD" w:rsidRDefault="0020768D">
    <w:pPr>
      <w:widowControl w:val="0"/>
      <w:spacing w:after="0" w:line="240" w:lineRule="auto"/>
      <w:rPr>
        <w:rFonts w:ascii="Arial" w:hAnsi="Arial" w:cs="Arial"/>
        <w:sz w:val="20"/>
        <w:szCs w:val="20"/>
      </w:rPr>
    </w:pPr>
    <w:r>
      <w:rPr>
        <w:rFonts w:ascii="Arial" w:hAnsi="Arial" w:cs="Arial"/>
        <w:sz w:val="20"/>
        <w:szCs w:val="20"/>
      </w:rPr>
      <w:t xml:space="preserve">   </w:t>
    </w:r>
  </w:p>
  <w:tbl>
    <w:tblPr>
      <w:tblW w:w="0" w:type="auto"/>
      <w:tblInd w:w="47" w:type="dxa"/>
      <w:tblBorders>
        <w:top w:val="nil"/>
        <w:left w:val="nil"/>
        <w:bottom w:val="nil"/>
        <w:right w:val="nil"/>
        <w:insideH w:val="nil"/>
        <w:insideV w:val="nil"/>
      </w:tblBorders>
      <w:tblCellMar>
        <w:top w:w="11" w:type="dxa"/>
        <w:left w:w="11" w:type="dxa"/>
        <w:bottom w:w="11" w:type="dxa"/>
        <w:right w:w="11" w:type="dxa"/>
      </w:tblCellMar>
      <w:tblLook w:val="04A0" w:firstRow="1" w:lastRow="0" w:firstColumn="1" w:lastColumn="0" w:noHBand="0" w:noVBand="1"/>
    </w:tblPr>
    <w:tblGrid>
      <w:gridCol w:w="9319"/>
    </w:tblGrid>
    <w:tr w:rsidR="00E652CD">
      <w:trPr>
        <w:trHeight w:val="100"/>
      </w:trPr>
      <w:tc>
        <w:tcPr>
          <w:tcW w:w="9319" w:type="dxa"/>
          <w:tcBorders>
            <w:top w:val="nil"/>
            <w:left w:val="nil"/>
            <w:bottom w:val="nil"/>
            <w:right w:val="nil"/>
          </w:tcBorders>
          <w:shd w:val="clear" w:color="auto" w:fill="auto"/>
        </w:tcPr>
        <w:p w:rsidR="00E652CD" w:rsidRDefault="0020768D">
          <w:pPr>
            <w:widowControl w:val="0"/>
            <w:spacing w:after="0" w:line="240" w:lineRule="auto"/>
            <w:rPr>
              <w:rFonts w:ascii="Arial" w:hAnsi="Arial" w:cs="Arial"/>
              <w:sz w:val="20"/>
              <w:szCs w:val="20"/>
            </w:rPr>
          </w:pPr>
          <w:r>
            <w:rPr>
              <w:rFonts w:ascii="Arial" w:hAnsi="Arial" w:cs="Arial"/>
              <w:noProof/>
              <w:sz w:val="20"/>
              <w:szCs w:val="20"/>
              <w:lang w:val="nl-NL" w:eastAsia="nl-NL"/>
            </w:rPr>
            <w:drawing>
              <wp:anchor distT="0" distB="0" distL="114300" distR="114300" simplePos="0" relativeHeight="6" behindDoc="1" locked="0" layoutInCell="1" allowOverlap="1">
                <wp:simplePos x="0" y="0"/>
                <wp:positionH relativeFrom="margin">
                  <wp:posOffset>0</wp:posOffset>
                </wp:positionH>
                <wp:positionV relativeFrom="margin">
                  <wp:posOffset>0</wp:posOffset>
                </wp:positionV>
                <wp:extent cx="5760720" cy="360045"/>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5760720" cy="360045"/>
                        </a:xfrm>
                        <a:prstGeom prst="rect">
                          <a:avLst/>
                        </a:prstGeom>
                        <a:noFill/>
                        <a:ln w="9525">
                          <a:noFill/>
                          <a:miter lim="800000"/>
                          <a:headEnd/>
                          <a:tailEnd/>
                        </a:ln>
                      </pic:spPr>
                    </pic:pic>
                  </a:graphicData>
                </a:graphic>
              </wp:anchor>
            </w:drawing>
          </w:r>
        </w:p>
      </w:tc>
    </w:tr>
  </w:tbl>
  <w:p w:rsidR="00E652CD" w:rsidRDefault="00E652CD">
    <w:pPr>
      <w:widowControl w:val="0"/>
      <w:spacing w:after="0" w:line="240"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8D" w:rsidRDefault="0020768D">
      <w:pPr>
        <w:spacing w:after="0" w:line="240" w:lineRule="auto"/>
      </w:pPr>
      <w:r>
        <w:separator/>
      </w:r>
    </w:p>
  </w:footnote>
  <w:footnote w:type="continuationSeparator" w:id="0">
    <w:p w:rsidR="0020768D" w:rsidRDefault="00207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34CC6"/>
    <w:multiLevelType w:val="multilevel"/>
    <w:tmpl w:val="3B06CAA6"/>
    <w:lvl w:ilvl="0">
      <w:start w:val="10"/>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280209B"/>
    <w:multiLevelType w:val="multilevel"/>
    <w:tmpl w:val="3DCAC6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52CD"/>
    <w:rsid w:val="00010BC8"/>
    <w:rsid w:val="001D7693"/>
    <w:rsid w:val="0020768D"/>
    <w:rsid w:val="00294325"/>
    <w:rsid w:val="00684BB0"/>
    <w:rsid w:val="00E65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GB"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uppressAutoHyphens/>
      <w:spacing w:after="160"/>
    </w:pPr>
  </w:style>
  <w:style w:type="paragraph" w:styleId="Kop3">
    <w:name w:val="heading 3"/>
    <w:basedOn w:val="Standaard"/>
    <w:link w:val="Kop3Char"/>
    <w:uiPriority w:val="9"/>
    <w:qFormat/>
    <w:rsid w:val="00684BB0"/>
    <w:pPr>
      <w:suppressAutoHyphens w:val="0"/>
      <w:spacing w:before="100" w:beforeAutospacing="1" w:after="100" w:afterAutospacing="1" w:line="240" w:lineRule="auto"/>
      <w:outlineLvl w:val="2"/>
    </w:pPr>
    <w:rPr>
      <w:rFonts w:ascii="Times New Roman" w:eastAsia="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rsid w:val="009B5D6A"/>
    <w:rPr>
      <w:color w:val="0563C1"/>
      <w:u w:val="single"/>
    </w:rPr>
  </w:style>
  <w:style w:type="character" w:styleId="GevolgdeHyperlink">
    <w:name w:val="FollowedHyperlink"/>
    <w:basedOn w:val="Standaardalinea-lettertype"/>
    <w:uiPriority w:val="99"/>
    <w:semiHidden/>
    <w:unhideWhenUsed/>
    <w:rsid w:val="009B5D6A"/>
    <w:rPr>
      <w:color w:val="954F72"/>
      <w:u w:val="single"/>
    </w:rPr>
  </w:style>
  <w:style w:type="character" w:customStyle="1" w:styleId="BallontekstChar">
    <w:name w:val="Ballontekst Char"/>
    <w:basedOn w:val="Standaardalinea-lettertype"/>
    <w:link w:val="Ballontekst"/>
    <w:uiPriority w:val="99"/>
    <w:semiHidden/>
    <w:rsid w:val="009D154B"/>
    <w:rPr>
      <w:rFonts w:ascii="Lucida Grande" w:hAnsi="Lucida Grande" w:cs="Lucida Grande"/>
      <w:sz w:val="18"/>
      <w:szCs w:val="18"/>
    </w:rPr>
  </w:style>
  <w:style w:type="character" w:customStyle="1" w:styleId="ListLabel1">
    <w:name w:val="ListLabel 1"/>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paragraph" w:customStyle="1" w:styleId="Heading">
    <w:name w:val="Heading"/>
    <w:basedOn w:val="Standaard"/>
    <w:next w:val="TextBody"/>
    <w:pPr>
      <w:keepNext/>
      <w:spacing w:before="240" w:after="120"/>
    </w:pPr>
    <w:rPr>
      <w:rFonts w:ascii="Liberation Sans" w:hAnsi="Liberation Sans" w:cs="FreeSans"/>
      <w:sz w:val="28"/>
      <w:szCs w:val="28"/>
    </w:rPr>
  </w:style>
  <w:style w:type="paragraph" w:customStyle="1" w:styleId="TextBody">
    <w:name w:val="Text Body"/>
    <w:basedOn w:val="Standaard"/>
    <w:pPr>
      <w:spacing w:after="140" w:line="288" w:lineRule="auto"/>
    </w:pPr>
  </w:style>
  <w:style w:type="paragraph" w:styleId="Lijst">
    <w:name w:val="List"/>
    <w:basedOn w:val="TextBody"/>
    <w:rPr>
      <w:rFonts w:cs="FreeSans"/>
    </w:rPr>
  </w:style>
  <w:style w:type="paragraph" w:styleId="Bijschrift">
    <w:name w:val="caption"/>
    <w:basedOn w:val="Standaard"/>
    <w:pPr>
      <w:suppressLineNumbers/>
      <w:spacing w:before="120" w:after="120"/>
    </w:pPr>
    <w:rPr>
      <w:rFonts w:cs="FreeSans"/>
      <w:i/>
      <w:iCs/>
      <w:sz w:val="24"/>
      <w:szCs w:val="24"/>
    </w:rPr>
  </w:style>
  <w:style w:type="paragraph" w:customStyle="1" w:styleId="Index">
    <w:name w:val="Index"/>
    <w:basedOn w:val="Standaard"/>
    <w:pPr>
      <w:suppressLineNumbers/>
    </w:pPr>
    <w:rPr>
      <w:rFonts w:cs="FreeSans"/>
    </w:rPr>
  </w:style>
  <w:style w:type="paragraph" w:styleId="Lijstalinea">
    <w:name w:val="List Paragraph"/>
    <w:basedOn w:val="Standaard"/>
    <w:uiPriority w:val="34"/>
    <w:qFormat/>
    <w:rsid w:val="00171DC3"/>
    <w:pPr>
      <w:spacing w:after="0" w:line="240" w:lineRule="auto"/>
      <w:ind w:left="720"/>
      <w:contextualSpacing/>
    </w:pPr>
    <w:rPr>
      <w:rFonts w:ascii="Arial" w:eastAsia="MS Mincho" w:hAnsi="Arial"/>
      <w:color w:val="56585B"/>
      <w:sz w:val="20"/>
      <w:szCs w:val="24"/>
      <w:lang w:val="en-US" w:eastAsia="en-US"/>
    </w:rPr>
  </w:style>
  <w:style w:type="paragraph" w:styleId="Ballontekst">
    <w:name w:val="Balloon Text"/>
    <w:basedOn w:val="Standaard"/>
    <w:link w:val="BallontekstChar"/>
    <w:uiPriority w:val="99"/>
    <w:semiHidden/>
    <w:unhideWhenUsed/>
    <w:rsid w:val="009D154B"/>
    <w:pPr>
      <w:spacing w:after="0" w:line="240" w:lineRule="auto"/>
    </w:pPr>
    <w:rPr>
      <w:rFonts w:ascii="Lucida Grande" w:hAnsi="Lucida Grande" w:cs="Lucida Grande"/>
      <w:sz w:val="18"/>
      <w:szCs w:val="18"/>
    </w:rPr>
  </w:style>
  <w:style w:type="paragraph" w:styleId="Voettekst">
    <w:name w:val="footer"/>
    <w:basedOn w:val="Standaard"/>
  </w:style>
  <w:style w:type="character" w:customStyle="1" w:styleId="Kop3Char">
    <w:name w:val="Kop 3 Char"/>
    <w:basedOn w:val="Standaardalinea-lettertype"/>
    <w:link w:val="Kop3"/>
    <w:uiPriority w:val="9"/>
    <w:rsid w:val="00684BB0"/>
    <w:rPr>
      <w:rFonts w:ascii="Times New Roman" w:eastAsia="Times New Roman" w:hAnsi="Times New Roman"/>
      <w:b/>
      <w:bCs/>
      <w:sz w:val="27"/>
      <w:szCs w:val="27"/>
      <w:lang w:val="nl-NL" w:eastAsia="nl-NL"/>
    </w:rPr>
  </w:style>
  <w:style w:type="character" w:customStyle="1" w:styleId="gd">
    <w:name w:val="gd"/>
    <w:basedOn w:val="Standaardalinea-lettertype"/>
    <w:rsid w:val="00684BB0"/>
  </w:style>
  <w:style w:type="character" w:customStyle="1" w:styleId="g3">
    <w:name w:val="g3"/>
    <w:basedOn w:val="Standaardalinea-lettertype"/>
    <w:rsid w:val="00684BB0"/>
  </w:style>
  <w:style w:type="character" w:customStyle="1" w:styleId="hb">
    <w:name w:val="hb"/>
    <w:basedOn w:val="Standaardalinea-lettertype"/>
    <w:rsid w:val="00684BB0"/>
  </w:style>
  <w:style w:type="character" w:customStyle="1" w:styleId="apple-converted-space">
    <w:name w:val="apple-converted-space"/>
    <w:basedOn w:val="Standaardalinea-lettertype"/>
    <w:rsid w:val="00684BB0"/>
  </w:style>
  <w:style w:type="character" w:customStyle="1" w:styleId="g2">
    <w:name w:val="g2"/>
    <w:basedOn w:val="Standaardalinea-lettertype"/>
    <w:rsid w:val="00684BB0"/>
  </w:style>
  <w:style w:type="character" w:styleId="Hyperlink">
    <w:name w:val="Hyperlink"/>
    <w:basedOn w:val="Standaardalinea-lettertype"/>
    <w:uiPriority w:val="99"/>
    <w:semiHidden/>
    <w:unhideWhenUsed/>
    <w:rsid w:val="00684B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5400">
      <w:bodyDiv w:val="1"/>
      <w:marLeft w:val="0"/>
      <w:marRight w:val="0"/>
      <w:marTop w:val="0"/>
      <w:marBottom w:val="0"/>
      <w:divBdr>
        <w:top w:val="none" w:sz="0" w:space="0" w:color="auto"/>
        <w:left w:val="none" w:sz="0" w:space="0" w:color="auto"/>
        <w:bottom w:val="none" w:sz="0" w:space="0" w:color="auto"/>
        <w:right w:val="none" w:sz="0" w:space="0" w:color="auto"/>
      </w:divBdr>
      <w:divsChild>
        <w:div w:id="725183121">
          <w:marLeft w:val="0"/>
          <w:marRight w:val="0"/>
          <w:marTop w:val="0"/>
          <w:marBottom w:val="0"/>
          <w:divBdr>
            <w:top w:val="none" w:sz="0" w:space="0" w:color="auto"/>
            <w:left w:val="none" w:sz="0" w:space="0" w:color="auto"/>
            <w:bottom w:val="none" w:sz="0" w:space="0" w:color="auto"/>
            <w:right w:val="none" w:sz="0" w:space="0" w:color="auto"/>
          </w:divBdr>
          <w:divsChild>
            <w:div w:id="1577517277">
              <w:marLeft w:val="0"/>
              <w:marRight w:val="0"/>
              <w:marTop w:val="0"/>
              <w:marBottom w:val="0"/>
              <w:divBdr>
                <w:top w:val="none" w:sz="0" w:space="0" w:color="auto"/>
                <w:left w:val="none" w:sz="0" w:space="0" w:color="auto"/>
                <w:bottom w:val="none" w:sz="0" w:space="0" w:color="auto"/>
                <w:right w:val="none" w:sz="0" w:space="0" w:color="auto"/>
              </w:divBdr>
              <w:divsChild>
                <w:div w:id="1059090879">
                  <w:marLeft w:val="0"/>
                  <w:marRight w:val="0"/>
                  <w:marTop w:val="0"/>
                  <w:marBottom w:val="0"/>
                  <w:divBdr>
                    <w:top w:val="none" w:sz="0" w:space="0" w:color="auto"/>
                    <w:left w:val="none" w:sz="0" w:space="0" w:color="auto"/>
                    <w:bottom w:val="none" w:sz="0" w:space="0" w:color="auto"/>
                    <w:right w:val="none" w:sz="0" w:space="0" w:color="auto"/>
                  </w:divBdr>
                </w:div>
              </w:divsChild>
            </w:div>
            <w:div w:id="640699343">
              <w:marLeft w:val="-15"/>
              <w:marRight w:val="0"/>
              <w:marTop w:val="0"/>
              <w:marBottom w:val="0"/>
              <w:divBdr>
                <w:top w:val="none" w:sz="0" w:space="0" w:color="auto"/>
                <w:left w:val="none" w:sz="0" w:space="0" w:color="auto"/>
                <w:bottom w:val="none" w:sz="0" w:space="0" w:color="auto"/>
                <w:right w:val="none" w:sz="0" w:space="0" w:color="auto"/>
              </w:divBdr>
            </w:div>
            <w:div w:id="1821917294">
              <w:marLeft w:val="0"/>
              <w:marRight w:val="0"/>
              <w:marTop w:val="0"/>
              <w:marBottom w:val="0"/>
              <w:divBdr>
                <w:top w:val="none" w:sz="0" w:space="0" w:color="auto"/>
                <w:left w:val="none" w:sz="0" w:space="0" w:color="auto"/>
                <w:bottom w:val="none" w:sz="0" w:space="0" w:color="auto"/>
                <w:right w:val="none" w:sz="0" w:space="0" w:color="auto"/>
              </w:divBdr>
            </w:div>
            <w:div w:id="1629236956">
              <w:marLeft w:val="75"/>
              <w:marRight w:val="0"/>
              <w:marTop w:val="0"/>
              <w:marBottom w:val="0"/>
              <w:divBdr>
                <w:top w:val="none" w:sz="0" w:space="0" w:color="auto"/>
                <w:left w:val="none" w:sz="0" w:space="0" w:color="auto"/>
                <w:bottom w:val="none" w:sz="0" w:space="0" w:color="auto"/>
                <w:right w:val="none" w:sz="0" w:space="0" w:color="auto"/>
              </w:divBdr>
            </w:div>
          </w:divsChild>
        </w:div>
        <w:div w:id="2007662068">
          <w:marLeft w:val="0"/>
          <w:marRight w:val="225"/>
          <w:marTop w:val="75"/>
          <w:marBottom w:val="0"/>
          <w:divBdr>
            <w:top w:val="none" w:sz="0" w:space="0" w:color="auto"/>
            <w:left w:val="none" w:sz="0" w:space="0" w:color="auto"/>
            <w:bottom w:val="none" w:sz="0" w:space="0" w:color="auto"/>
            <w:right w:val="none" w:sz="0" w:space="0" w:color="auto"/>
          </w:divBdr>
          <w:divsChild>
            <w:div w:id="1701710682">
              <w:marLeft w:val="0"/>
              <w:marRight w:val="0"/>
              <w:marTop w:val="0"/>
              <w:marBottom w:val="0"/>
              <w:divBdr>
                <w:top w:val="none" w:sz="0" w:space="0" w:color="auto"/>
                <w:left w:val="none" w:sz="0" w:space="0" w:color="auto"/>
                <w:bottom w:val="none" w:sz="0" w:space="0" w:color="auto"/>
                <w:right w:val="none" w:sz="0" w:space="0" w:color="auto"/>
              </w:divBdr>
              <w:divsChild>
                <w:div w:id="1344361781">
                  <w:marLeft w:val="0"/>
                  <w:marRight w:val="0"/>
                  <w:marTop w:val="0"/>
                  <w:marBottom w:val="0"/>
                  <w:divBdr>
                    <w:top w:val="none" w:sz="0" w:space="0" w:color="auto"/>
                    <w:left w:val="none" w:sz="0" w:space="0" w:color="auto"/>
                    <w:bottom w:val="none" w:sz="0" w:space="0" w:color="auto"/>
                    <w:right w:val="none" w:sz="0" w:space="0" w:color="auto"/>
                  </w:divBdr>
                  <w:divsChild>
                    <w:div w:id="14274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21452">
      <w:bodyDiv w:val="1"/>
      <w:marLeft w:val="0"/>
      <w:marRight w:val="0"/>
      <w:marTop w:val="0"/>
      <w:marBottom w:val="0"/>
      <w:divBdr>
        <w:top w:val="none" w:sz="0" w:space="0" w:color="auto"/>
        <w:left w:val="none" w:sz="0" w:space="0" w:color="auto"/>
        <w:bottom w:val="none" w:sz="0" w:space="0" w:color="auto"/>
        <w:right w:val="none" w:sz="0" w:space="0" w:color="auto"/>
      </w:divBdr>
      <w:divsChild>
        <w:div w:id="1549141593">
          <w:marLeft w:val="0"/>
          <w:marRight w:val="0"/>
          <w:marTop w:val="0"/>
          <w:marBottom w:val="0"/>
          <w:divBdr>
            <w:top w:val="none" w:sz="0" w:space="0" w:color="auto"/>
            <w:left w:val="none" w:sz="0" w:space="0" w:color="auto"/>
            <w:bottom w:val="none" w:sz="0" w:space="0" w:color="auto"/>
            <w:right w:val="none" w:sz="0" w:space="0" w:color="auto"/>
          </w:divBdr>
          <w:divsChild>
            <w:div w:id="637491170">
              <w:marLeft w:val="0"/>
              <w:marRight w:val="0"/>
              <w:marTop w:val="0"/>
              <w:marBottom w:val="0"/>
              <w:divBdr>
                <w:top w:val="none" w:sz="0" w:space="0" w:color="auto"/>
                <w:left w:val="none" w:sz="0" w:space="0" w:color="auto"/>
                <w:bottom w:val="none" w:sz="0" w:space="0" w:color="auto"/>
                <w:right w:val="none" w:sz="0" w:space="0" w:color="auto"/>
              </w:divBdr>
              <w:divsChild>
                <w:div w:id="1898854014">
                  <w:marLeft w:val="0"/>
                  <w:marRight w:val="0"/>
                  <w:marTop w:val="0"/>
                  <w:marBottom w:val="0"/>
                  <w:divBdr>
                    <w:top w:val="none" w:sz="0" w:space="0" w:color="auto"/>
                    <w:left w:val="none" w:sz="0" w:space="0" w:color="auto"/>
                    <w:bottom w:val="none" w:sz="0" w:space="0" w:color="auto"/>
                    <w:right w:val="none" w:sz="0" w:space="0" w:color="auto"/>
                  </w:divBdr>
                </w:div>
              </w:divsChild>
            </w:div>
            <w:div w:id="378435781">
              <w:marLeft w:val="-15"/>
              <w:marRight w:val="0"/>
              <w:marTop w:val="0"/>
              <w:marBottom w:val="0"/>
              <w:divBdr>
                <w:top w:val="none" w:sz="0" w:space="0" w:color="auto"/>
                <w:left w:val="none" w:sz="0" w:space="0" w:color="auto"/>
                <w:bottom w:val="none" w:sz="0" w:space="0" w:color="auto"/>
                <w:right w:val="none" w:sz="0" w:space="0" w:color="auto"/>
              </w:divBdr>
            </w:div>
            <w:div w:id="1297367514">
              <w:marLeft w:val="0"/>
              <w:marRight w:val="0"/>
              <w:marTop w:val="0"/>
              <w:marBottom w:val="0"/>
              <w:divBdr>
                <w:top w:val="none" w:sz="0" w:space="0" w:color="auto"/>
                <w:left w:val="none" w:sz="0" w:space="0" w:color="auto"/>
                <w:bottom w:val="none" w:sz="0" w:space="0" w:color="auto"/>
                <w:right w:val="none" w:sz="0" w:space="0" w:color="auto"/>
              </w:divBdr>
            </w:div>
            <w:div w:id="1400134267">
              <w:marLeft w:val="75"/>
              <w:marRight w:val="0"/>
              <w:marTop w:val="0"/>
              <w:marBottom w:val="0"/>
              <w:divBdr>
                <w:top w:val="none" w:sz="0" w:space="0" w:color="auto"/>
                <w:left w:val="none" w:sz="0" w:space="0" w:color="auto"/>
                <w:bottom w:val="none" w:sz="0" w:space="0" w:color="auto"/>
                <w:right w:val="none" w:sz="0" w:space="0" w:color="auto"/>
              </w:divBdr>
            </w:div>
          </w:divsChild>
        </w:div>
        <w:div w:id="1857452376">
          <w:marLeft w:val="0"/>
          <w:marRight w:val="225"/>
          <w:marTop w:val="75"/>
          <w:marBottom w:val="0"/>
          <w:divBdr>
            <w:top w:val="none" w:sz="0" w:space="0" w:color="auto"/>
            <w:left w:val="none" w:sz="0" w:space="0" w:color="auto"/>
            <w:bottom w:val="none" w:sz="0" w:space="0" w:color="auto"/>
            <w:right w:val="none" w:sz="0" w:space="0" w:color="auto"/>
          </w:divBdr>
          <w:divsChild>
            <w:div w:id="482505495">
              <w:marLeft w:val="0"/>
              <w:marRight w:val="0"/>
              <w:marTop w:val="0"/>
              <w:marBottom w:val="0"/>
              <w:divBdr>
                <w:top w:val="none" w:sz="0" w:space="0" w:color="auto"/>
                <w:left w:val="none" w:sz="0" w:space="0" w:color="auto"/>
                <w:bottom w:val="none" w:sz="0" w:space="0" w:color="auto"/>
                <w:right w:val="none" w:sz="0" w:space="0" w:color="auto"/>
              </w:divBdr>
              <w:divsChild>
                <w:div w:id="20935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perb-project.eu/" TargetMode="External"/><Relationship Id="rId4" Type="http://schemas.openxmlformats.org/officeDocument/2006/relationships/settings" Target="settings.xml"/><Relationship Id="rId9" Type="http://schemas.openxmlformats.org/officeDocument/2006/relationships/hyperlink" Target="http://www.superb-project.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2681</Words>
  <Characters>14748</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cost report</vt:lpstr>
    </vt:vector>
  </TitlesOfParts>
  <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creator>www.cost.eu</dc:creator>
  <cp:lastModifiedBy>Thuis</cp:lastModifiedBy>
  <cp:revision>2</cp:revision>
  <dcterms:created xsi:type="dcterms:W3CDTF">2015-11-16T20:33:00Z</dcterms:created>
  <dcterms:modified xsi:type="dcterms:W3CDTF">2015-11-16T20:33:00Z</dcterms:modified>
  <dc:language>en-GB</dc:language>
</cp:coreProperties>
</file>